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4D4DD7" w:rsidR="00D420F3" w:rsidP="004D4DD7" w:rsidRDefault="00D420F3">
      <w:pPr>
        <w:jc w:val="center"/>
      </w:pPr>
      <w:bookmarkStart w:name="_GoBack" w:id="0"/>
      <w:bookmarkEnd w:id="0"/>
    </w:p>
    <w:p w:rsidRPr="004D4DD7" w:rsidR="000A7E6B" w:rsidP="004D4DD7" w:rsidRDefault="000A7E6B">
      <w:pPr>
        <w:jc w:val="center"/>
      </w:pPr>
    </w:p>
    <w:p w:rsidRPr="004D4DD7" w:rsidR="000A7E6B" w:rsidP="004D4DD7" w:rsidRDefault="000A7E6B">
      <w:pPr>
        <w:jc w:val="center"/>
      </w:pPr>
    </w:p>
    <w:p w:rsidRPr="004D4DD7" w:rsidR="00D420F3" w:rsidP="004D4DD7" w:rsidRDefault="00D14839">
      <w:pPr>
        <w:jc w:val="center"/>
      </w:pPr>
      <w:r w:rsidRPr="004D4DD7">
        <w:t>FIFTH SECTION</w:t>
      </w:r>
    </w:p>
    <w:p w:rsidRPr="004D4DD7" w:rsidR="00D420F3" w:rsidP="004D4DD7" w:rsidRDefault="00D420F3">
      <w:pPr>
        <w:jc w:val="center"/>
      </w:pPr>
    </w:p>
    <w:p w:rsidRPr="004D4DD7" w:rsidR="000A7E6B" w:rsidP="004D4DD7" w:rsidRDefault="000A7E6B">
      <w:pPr>
        <w:jc w:val="center"/>
      </w:pPr>
    </w:p>
    <w:p w:rsidRPr="004D4DD7" w:rsidR="000A7E6B" w:rsidP="004D4DD7" w:rsidRDefault="000A7E6B">
      <w:pPr>
        <w:jc w:val="center"/>
      </w:pPr>
    </w:p>
    <w:p w:rsidRPr="004D4DD7" w:rsidR="000A7E6B" w:rsidP="004D4DD7" w:rsidRDefault="000A7E6B">
      <w:pPr>
        <w:jc w:val="center"/>
      </w:pPr>
    </w:p>
    <w:p w:rsidRPr="004D4DD7" w:rsidR="000A7E6B" w:rsidP="004D4DD7" w:rsidRDefault="000A7E6B">
      <w:pPr>
        <w:jc w:val="center"/>
      </w:pPr>
    </w:p>
    <w:p w:rsidRPr="004D4DD7" w:rsidR="000A7E6B" w:rsidP="004D4DD7" w:rsidRDefault="000A7E6B">
      <w:pPr>
        <w:jc w:val="center"/>
      </w:pPr>
    </w:p>
    <w:p w:rsidRPr="004D4DD7" w:rsidR="00D420F3" w:rsidP="004D4DD7" w:rsidRDefault="0077175D">
      <w:pPr>
        <w:jc w:val="center"/>
        <w:rPr>
          <w:b/>
        </w:rPr>
      </w:pPr>
      <w:r w:rsidRPr="004D4DD7">
        <w:rPr>
          <w:b/>
        </w:rPr>
        <w:t xml:space="preserve">CASE OF </w:t>
      </w:r>
      <w:r w:rsidRPr="004D4DD7" w:rsidR="00D14839">
        <w:rPr>
          <w:b/>
        </w:rPr>
        <w:t>BIGUN v. UKRAINE</w:t>
      </w:r>
    </w:p>
    <w:p w:rsidRPr="004D4DD7" w:rsidR="00D420F3" w:rsidP="004D4DD7" w:rsidRDefault="00D420F3">
      <w:pPr>
        <w:jc w:val="center"/>
      </w:pPr>
    </w:p>
    <w:p w:rsidRPr="004D4DD7" w:rsidR="00D420F3" w:rsidP="004D4DD7" w:rsidRDefault="0077175D">
      <w:pPr>
        <w:jc w:val="center"/>
        <w:rPr>
          <w:i/>
        </w:rPr>
      </w:pPr>
      <w:r w:rsidRPr="004D4DD7">
        <w:rPr>
          <w:i/>
        </w:rPr>
        <w:t>(</w:t>
      </w:r>
      <w:r w:rsidRPr="004D4DD7" w:rsidR="00D14839">
        <w:rPr>
          <w:i/>
        </w:rPr>
        <w:t>Application no. 30315/10</w:t>
      </w:r>
      <w:r w:rsidRPr="004D4DD7">
        <w:rPr>
          <w:i/>
        </w:rPr>
        <w:t>)</w:t>
      </w:r>
    </w:p>
    <w:p w:rsidRPr="004D4DD7" w:rsidR="00D420F3" w:rsidP="004D4DD7" w:rsidRDefault="00D420F3">
      <w:pPr>
        <w:jc w:val="center"/>
      </w:pPr>
    </w:p>
    <w:p w:rsidRPr="004D4DD7" w:rsidR="00D420F3" w:rsidP="004D4DD7" w:rsidRDefault="00D420F3">
      <w:pPr>
        <w:jc w:val="center"/>
      </w:pPr>
    </w:p>
    <w:p w:rsidRPr="004D4DD7" w:rsidR="00D420F3" w:rsidP="004D4DD7" w:rsidRDefault="00D420F3">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EE3DA7" w:rsidP="004D4DD7" w:rsidRDefault="00EE3DA7">
      <w:pPr>
        <w:jc w:val="center"/>
      </w:pPr>
    </w:p>
    <w:p w:rsidRPr="004D4DD7" w:rsidR="00D420F3" w:rsidP="004D4DD7" w:rsidRDefault="00D420F3">
      <w:pPr>
        <w:jc w:val="center"/>
      </w:pPr>
    </w:p>
    <w:p w:rsidRPr="004D4DD7" w:rsidR="00D420F3" w:rsidP="004D4DD7" w:rsidRDefault="000A7E6B">
      <w:pPr>
        <w:jc w:val="center"/>
        <w:rPr>
          <w:szCs w:val="24"/>
        </w:rPr>
      </w:pPr>
      <w:r w:rsidRPr="004D4DD7">
        <w:rPr>
          <w:szCs w:val="24"/>
        </w:rPr>
        <w:t>JUDGMENT</w:t>
      </w:r>
    </w:p>
    <w:p w:rsidRPr="004D4DD7" w:rsidR="00CB20C3" w:rsidP="004D4DD7" w:rsidRDefault="00CB20C3">
      <w:pPr>
        <w:jc w:val="center"/>
      </w:pPr>
    </w:p>
    <w:p w:rsidRPr="004D4DD7" w:rsidR="00D420F3" w:rsidP="004D4DD7" w:rsidRDefault="00D420F3">
      <w:pPr>
        <w:jc w:val="center"/>
      </w:pPr>
    </w:p>
    <w:p w:rsidRPr="004D4DD7" w:rsidR="000A7E6B" w:rsidP="004D4DD7" w:rsidRDefault="000A7E6B">
      <w:pPr>
        <w:jc w:val="center"/>
      </w:pPr>
    </w:p>
    <w:p w:rsidRPr="004D4DD7" w:rsidR="000A7E6B" w:rsidP="004D4DD7" w:rsidRDefault="000A7E6B">
      <w:pPr>
        <w:jc w:val="center"/>
      </w:pPr>
    </w:p>
    <w:p w:rsidRPr="004D4DD7" w:rsidR="000A7E6B" w:rsidP="004D4DD7" w:rsidRDefault="000A7E6B">
      <w:pPr>
        <w:jc w:val="center"/>
      </w:pPr>
      <w:r w:rsidRPr="004D4DD7">
        <w:t>STRASBOURG</w:t>
      </w:r>
    </w:p>
    <w:p w:rsidRPr="004D4DD7" w:rsidR="000A7E6B" w:rsidP="004D4DD7" w:rsidRDefault="000A7E6B">
      <w:pPr>
        <w:jc w:val="center"/>
      </w:pPr>
    </w:p>
    <w:p w:rsidRPr="004D4DD7" w:rsidR="000A7E6B" w:rsidP="004D4DD7" w:rsidRDefault="000A7E6B">
      <w:pPr>
        <w:jc w:val="center"/>
      </w:pPr>
      <w:r w:rsidRPr="004D4DD7">
        <w:t>21 March 2019</w:t>
      </w:r>
    </w:p>
    <w:p w:rsidRPr="004D4DD7" w:rsidR="000A7E6B" w:rsidP="004D4DD7" w:rsidRDefault="000A7E6B">
      <w:pPr>
        <w:jc w:val="center"/>
      </w:pPr>
    </w:p>
    <w:p w:rsidRPr="004D4DD7" w:rsidR="000A7E6B" w:rsidP="004D4DD7" w:rsidRDefault="000A7E6B">
      <w:pPr>
        <w:jc w:val="center"/>
      </w:pPr>
    </w:p>
    <w:p w:rsidRPr="004D4DD7" w:rsidR="00C81E19" w:rsidP="004D4DD7" w:rsidRDefault="00C81E19">
      <w:pPr>
        <w:jc w:val="center"/>
      </w:pPr>
    </w:p>
    <w:p w:rsidRPr="004D4DD7" w:rsidR="000A7E6B" w:rsidP="004D4DD7" w:rsidRDefault="000A7E6B">
      <w:pPr>
        <w:jc w:val="left"/>
        <w:rPr>
          <w:i/>
          <w:sz w:val="22"/>
        </w:rPr>
      </w:pPr>
      <w:r w:rsidRPr="004D4DD7">
        <w:rPr>
          <w:i/>
          <w:sz w:val="22"/>
        </w:rPr>
        <w:t>This judgment is final but it may be</w:t>
      </w:r>
      <w:r w:rsidRPr="004D4DD7" w:rsidR="00C81E19">
        <w:rPr>
          <w:i/>
          <w:sz w:val="22"/>
        </w:rPr>
        <w:t xml:space="preserve"> subject to editorial revision.</w:t>
      </w:r>
    </w:p>
    <w:p w:rsidRPr="004D4DD7" w:rsidR="00EE3DA7" w:rsidP="004D4DD7" w:rsidRDefault="00EE3DA7">
      <w:pPr>
        <w:pStyle w:val="ECHRPara"/>
        <w:sectPr w:rsidRPr="004D4DD7" w:rsidR="00EE3DA7" w:rsidSect="000A7E6B">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4D4DD7" w:rsidR="00D420F3" w:rsidP="004D4DD7" w:rsidRDefault="0077175D">
      <w:pPr>
        <w:pStyle w:val="JuCase"/>
        <w:rPr>
          <w:bCs/>
        </w:rPr>
      </w:pPr>
      <w:r w:rsidRPr="004D4DD7">
        <w:t xml:space="preserve">In the case of </w:t>
      </w:r>
      <w:r w:rsidRPr="004D4DD7" w:rsidR="00D14839">
        <w:t>Bigun v. Ukraine</w:t>
      </w:r>
      <w:r w:rsidRPr="004D4DD7">
        <w:t>,</w:t>
      </w:r>
    </w:p>
    <w:p w:rsidRPr="004D4DD7" w:rsidR="00D420F3" w:rsidP="004D4DD7" w:rsidRDefault="0077175D">
      <w:pPr>
        <w:pStyle w:val="ECHRPara"/>
      </w:pPr>
      <w:r w:rsidRPr="004D4DD7">
        <w:t>The European Court of Human Rights (</w:t>
      </w:r>
      <w:r w:rsidRPr="004D4DD7" w:rsidR="006B60A7">
        <w:t>Fifth</w:t>
      </w:r>
      <w:r w:rsidRPr="004D4DD7" w:rsidR="00D14839">
        <w:t xml:space="preserve"> Section</w:t>
      </w:r>
      <w:r w:rsidRPr="004D4DD7">
        <w:t xml:space="preserve">), sitting as a </w:t>
      </w:r>
      <w:r w:rsidRPr="004D4DD7" w:rsidR="00D14839">
        <w:t>Committee</w:t>
      </w:r>
      <w:r w:rsidRPr="004D4DD7">
        <w:t xml:space="preserve"> composed of:</w:t>
      </w:r>
    </w:p>
    <w:p w:rsidRPr="004D4DD7" w:rsidR="00D420F3" w:rsidP="004D4DD7" w:rsidRDefault="000A7E6B">
      <w:pPr>
        <w:pStyle w:val="ECHRDecisionBody"/>
      </w:pPr>
      <w:r w:rsidRPr="004D4DD7">
        <w:tab/>
        <w:t>Síofra O</w:t>
      </w:r>
      <w:r w:rsidRPr="004D4DD7" w:rsidR="004D4DD7">
        <w:t>’</w:t>
      </w:r>
      <w:r w:rsidRPr="004D4DD7">
        <w:t>Leary,</w:t>
      </w:r>
      <w:r w:rsidRPr="004D4DD7">
        <w:rPr>
          <w:i/>
        </w:rPr>
        <w:t xml:space="preserve"> President,</w:t>
      </w:r>
      <w:r w:rsidRPr="004D4DD7">
        <w:rPr>
          <w:i/>
        </w:rPr>
        <w:br/>
      </w:r>
      <w:r w:rsidRPr="004D4DD7">
        <w:tab/>
        <w:t>Ganna Yudkivska,</w:t>
      </w:r>
      <w:r w:rsidRPr="004D4DD7">
        <w:rPr>
          <w:i/>
        </w:rPr>
        <w:br/>
      </w:r>
      <w:r w:rsidRPr="004D4DD7">
        <w:tab/>
        <w:t>Lado Chanturia,</w:t>
      </w:r>
      <w:r w:rsidRPr="004D4DD7">
        <w:rPr>
          <w:i/>
        </w:rPr>
        <w:t xml:space="preserve"> judges,</w:t>
      </w:r>
      <w:r w:rsidRPr="004D4DD7" w:rsidR="0077175D">
        <w:rPr>
          <w:szCs w:val="24"/>
        </w:rPr>
        <w:br/>
      </w:r>
      <w:r w:rsidRPr="004D4DD7" w:rsidR="0077175D">
        <w:t xml:space="preserve">and </w:t>
      </w:r>
      <w:r w:rsidRPr="004D4DD7" w:rsidR="00393868">
        <w:t>Milan Blaško</w:t>
      </w:r>
      <w:r w:rsidRPr="004D4DD7" w:rsidR="0077175D">
        <w:t xml:space="preserve">, </w:t>
      </w:r>
      <w:r w:rsidRPr="004D4DD7" w:rsidR="00D14839">
        <w:rPr>
          <w:i/>
        </w:rPr>
        <w:t xml:space="preserve">Deputy Section </w:t>
      </w:r>
      <w:r w:rsidRPr="004D4DD7" w:rsidR="00D14839">
        <w:rPr>
          <w:i/>
          <w:iCs/>
        </w:rPr>
        <w:t>Registrar</w:t>
      </w:r>
      <w:r w:rsidRPr="004D4DD7" w:rsidR="0077175D">
        <w:rPr>
          <w:i/>
        </w:rPr>
        <w:t>,</w:t>
      </w:r>
    </w:p>
    <w:p w:rsidRPr="004D4DD7" w:rsidR="00D420F3" w:rsidP="004D4DD7" w:rsidRDefault="0077175D">
      <w:pPr>
        <w:pStyle w:val="ECHRPara"/>
      </w:pPr>
      <w:r w:rsidRPr="004D4DD7">
        <w:t xml:space="preserve">Having deliberated in private on </w:t>
      </w:r>
      <w:r w:rsidRPr="004D4DD7" w:rsidR="000A7E6B">
        <w:t>26 February 2019</w:t>
      </w:r>
      <w:r w:rsidRPr="004D4DD7">
        <w:t>,</w:t>
      </w:r>
    </w:p>
    <w:p w:rsidRPr="004D4DD7" w:rsidR="00D420F3" w:rsidP="004D4DD7" w:rsidRDefault="0077175D">
      <w:pPr>
        <w:pStyle w:val="ECHRPara"/>
      </w:pPr>
      <w:r w:rsidRPr="004D4DD7">
        <w:t>Delivers the following judgment, which was adopted on that date:</w:t>
      </w:r>
    </w:p>
    <w:p w:rsidRPr="004D4DD7" w:rsidR="00D420F3" w:rsidP="004D4DD7" w:rsidRDefault="0077175D">
      <w:pPr>
        <w:pStyle w:val="ECHRTitle1"/>
      </w:pPr>
      <w:r w:rsidRPr="004D4DD7">
        <w:t>PROCEDURE</w:t>
      </w:r>
    </w:p>
    <w:p w:rsidRPr="004D4DD7" w:rsidR="0044229F"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1</w:t>
      </w:r>
      <w:r w:rsidRPr="004D4DD7">
        <w:fldChar w:fldCharType="end"/>
      </w:r>
      <w:r w:rsidRPr="004D4DD7" w:rsidR="0077175D">
        <w:t xml:space="preserve">.  The case originated in </w:t>
      </w:r>
      <w:r w:rsidRPr="004D4DD7">
        <w:t>an application (no. 30315/10)</w:t>
      </w:r>
      <w:r w:rsidRPr="004D4DD7" w:rsidR="0077175D">
        <w:t xml:space="preserve"> against </w:t>
      </w:r>
      <w:r w:rsidRPr="004D4DD7">
        <w:t>Ukraine</w:t>
      </w:r>
      <w:r w:rsidRPr="004D4DD7" w:rsidR="0077175D">
        <w:t xml:space="preserve"> lodged with the </w:t>
      </w:r>
      <w:r w:rsidRPr="004D4DD7">
        <w:t>Court under Article 34</w:t>
      </w:r>
      <w:r w:rsidRPr="004D4DD7" w:rsidR="0077175D">
        <w:t xml:space="preserve"> of the Convention for the Protection of Human Rights and Fundamental Freedoms (“the Convention”) by </w:t>
      </w:r>
      <w:r w:rsidRPr="004D4DD7" w:rsidR="006B60A7">
        <w:t>two</w:t>
      </w:r>
      <w:r w:rsidRPr="004D4DD7">
        <w:t xml:space="preserve"> Ukrainian nationals, Mr Vyacheslav Vasilyevich Bigun </w:t>
      </w:r>
      <w:r w:rsidRPr="004D4DD7" w:rsidR="006B60A7">
        <w:t xml:space="preserve">(“the first applicant”) </w:t>
      </w:r>
      <w:r w:rsidRPr="004D4DD7">
        <w:t xml:space="preserve">and Ms </w:t>
      </w:r>
      <w:r w:rsidRPr="004D4DD7" w:rsidR="006B60A7">
        <w:t xml:space="preserve">Lesya Nikolayevna Bigun </w:t>
      </w:r>
      <w:r w:rsidRPr="004D4DD7">
        <w:t xml:space="preserve">(“the </w:t>
      </w:r>
      <w:r w:rsidRPr="004D4DD7" w:rsidR="006B60A7">
        <w:t xml:space="preserve">second </w:t>
      </w:r>
      <w:r w:rsidRPr="004D4DD7">
        <w:t>applicant”), on 12 May 2010</w:t>
      </w:r>
      <w:r w:rsidRPr="004D4DD7" w:rsidR="0077175D">
        <w:t>.</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2</w:t>
      </w:r>
      <w:r w:rsidRPr="004D4DD7">
        <w:fldChar w:fldCharType="end"/>
      </w:r>
      <w:r w:rsidRPr="004D4DD7" w:rsidR="0077175D">
        <w:t>.  </w:t>
      </w:r>
      <w:r w:rsidRPr="004D4DD7">
        <w:t>The applicants</w:t>
      </w:r>
      <w:r w:rsidRPr="004D4DD7" w:rsidR="006B60A7">
        <w:t xml:space="preserve"> </w:t>
      </w:r>
      <w:r w:rsidRPr="004D4DD7">
        <w:t>were represented by Mr P.F. Bukalov</w:t>
      </w:r>
      <w:r w:rsidRPr="004D4DD7" w:rsidR="00531DCE">
        <w:t>, a lawyer practi</w:t>
      </w:r>
      <w:r w:rsidRPr="004D4DD7" w:rsidR="00B52269">
        <w:t>s</w:t>
      </w:r>
      <w:r w:rsidRPr="004D4DD7" w:rsidR="00531DCE">
        <w:t>ing in Kyiv</w:t>
      </w:r>
      <w:r w:rsidRPr="004D4DD7" w:rsidR="006B60A7">
        <w:t>.</w:t>
      </w:r>
      <w:r w:rsidRPr="004D4DD7">
        <w:t xml:space="preserve"> </w:t>
      </w:r>
      <w:r w:rsidRPr="004D4DD7" w:rsidR="0077175D">
        <w:t xml:space="preserve">The </w:t>
      </w:r>
      <w:r w:rsidRPr="004D4DD7">
        <w:t>Ukrainian</w:t>
      </w:r>
      <w:r w:rsidRPr="004D4DD7" w:rsidR="0077175D">
        <w:t xml:space="preserve"> Government (“the Government”) were represented by their Agent, </w:t>
      </w:r>
      <w:r w:rsidRPr="004D4DD7" w:rsidR="00AF2597">
        <w:t>most recently Mr Ivan Lishchyna</w:t>
      </w:r>
      <w:r w:rsidRPr="004D4DD7" w:rsidR="0077175D">
        <w:t>.</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3</w:t>
      </w:r>
      <w:r w:rsidRPr="004D4DD7">
        <w:fldChar w:fldCharType="end"/>
      </w:r>
      <w:r w:rsidRPr="004D4DD7" w:rsidR="0077175D">
        <w:t>.  </w:t>
      </w:r>
      <w:r w:rsidRPr="004D4DD7">
        <w:t xml:space="preserve">On </w:t>
      </w:r>
      <w:r w:rsidRPr="004D4DD7">
        <w:rPr>
          <w:szCs w:val="24"/>
        </w:rPr>
        <w:t>5 January 2016</w:t>
      </w:r>
      <w:r w:rsidRPr="004D4DD7" w:rsidR="0077175D">
        <w:t xml:space="preserve"> </w:t>
      </w:r>
      <w:r w:rsidRPr="004D4DD7" w:rsidR="009A7479">
        <w:t xml:space="preserve">notice of </w:t>
      </w:r>
      <w:r w:rsidRPr="004D4DD7" w:rsidR="0077175D">
        <w:t xml:space="preserve">the </w:t>
      </w:r>
      <w:r w:rsidRPr="004D4DD7">
        <w:rPr>
          <w:szCs w:val="24"/>
        </w:rPr>
        <w:t>application was given to the Government</w:t>
      </w:r>
      <w:r w:rsidRPr="004D4DD7" w:rsidR="0077175D">
        <w:t>.</w:t>
      </w:r>
    </w:p>
    <w:p w:rsidRPr="004D4DD7" w:rsidR="00942C75" w:rsidP="004D4DD7" w:rsidRDefault="00942C75">
      <w:pPr>
        <w:pStyle w:val="ECHRPara"/>
      </w:pPr>
      <w:r w:rsidRPr="004D4DD7">
        <w:fldChar w:fldCharType="begin"/>
      </w:r>
      <w:r w:rsidRPr="004D4DD7">
        <w:instrText xml:space="preserve"> SEQ level0 \*arabic </w:instrText>
      </w:r>
      <w:r w:rsidRPr="004D4DD7">
        <w:fldChar w:fldCharType="separate"/>
      </w:r>
      <w:r w:rsidRPr="004D4DD7" w:rsidR="004D4DD7">
        <w:rPr>
          <w:noProof/>
        </w:rPr>
        <w:t>4</w:t>
      </w:r>
      <w:r w:rsidRPr="004D4DD7">
        <w:fldChar w:fldCharType="end"/>
      </w:r>
      <w:r w:rsidRPr="004D4DD7">
        <w:t xml:space="preserve">.  The Government </w:t>
      </w:r>
      <w:r w:rsidRPr="004D4DD7" w:rsidR="00C55765">
        <w:t xml:space="preserve">did not </w:t>
      </w:r>
      <w:r w:rsidRPr="004D4DD7">
        <w:t>object to the examination of the application by a Committee.</w:t>
      </w:r>
    </w:p>
    <w:p w:rsidRPr="004D4DD7" w:rsidR="00D420F3" w:rsidP="004D4DD7" w:rsidRDefault="0077175D">
      <w:pPr>
        <w:pStyle w:val="ECHRTitle1"/>
      </w:pPr>
      <w:r w:rsidRPr="004D4DD7">
        <w:t>THE FACTS</w:t>
      </w:r>
    </w:p>
    <w:p w:rsidRPr="004D4DD7" w:rsidR="00D420F3" w:rsidP="004D4DD7" w:rsidRDefault="0077175D">
      <w:pPr>
        <w:pStyle w:val="ECHRHeading1"/>
      </w:pPr>
      <w:r w:rsidRPr="004D4DD7">
        <w:t>I.  THE CIRCUMSTANCES OF THE CASE</w:t>
      </w:r>
    </w:p>
    <w:p w:rsidRPr="004D4DD7" w:rsidR="00C713FB"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w:t>
      </w:r>
      <w:r w:rsidRPr="004D4DD7">
        <w:fldChar w:fldCharType="end"/>
      </w:r>
      <w:r w:rsidRPr="004D4DD7" w:rsidR="0077175D">
        <w:t xml:space="preserve">.  The </w:t>
      </w:r>
      <w:r w:rsidRPr="004D4DD7">
        <w:t>applicant</w:t>
      </w:r>
      <w:r w:rsidRPr="004D4DD7" w:rsidR="006B60A7">
        <w:t>s were born</w:t>
      </w:r>
      <w:r w:rsidRPr="004D4DD7" w:rsidR="00531DCE">
        <w:t xml:space="preserve"> in 1979 and 1983 respectively.</w:t>
      </w:r>
      <w:r w:rsidRPr="004D4DD7" w:rsidR="00C713FB">
        <w:t xml:space="preserve"> The first applicant is serving a life sentence in Dnipropetrovsk </w:t>
      </w:r>
      <w:r w:rsidRPr="004D4DD7" w:rsidR="001D7FD7">
        <w:t>P</w:t>
      </w:r>
      <w:r w:rsidRPr="004D4DD7" w:rsidR="00C713FB">
        <w:t>rison no. 89. The second applicant lives in Obukhiv.</w:t>
      </w:r>
    </w:p>
    <w:p w:rsidRPr="004D4DD7" w:rsidR="00AF2597" w:rsidP="004D4DD7" w:rsidRDefault="00AF2597">
      <w:pPr>
        <w:pStyle w:val="ECHRPara"/>
      </w:pPr>
      <w:r w:rsidRPr="004D4DD7">
        <w:fldChar w:fldCharType="begin"/>
      </w:r>
      <w:r w:rsidRPr="004D4DD7">
        <w:instrText xml:space="preserve"> SEQ level0 \*arabic </w:instrText>
      </w:r>
      <w:r w:rsidRPr="004D4DD7">
        <w:fldChar w:fldCharType="separate"/>
      </w:r>
      <w:r w:rsidRPr="004D4DD7" w:rsidR="004D4DD7">
        <w:rPr>
          <w:noProof/>
        </w:rPr>
        <w:t>6</w:t>
      </w:r>
      <w:r w:rsidRPr="004D4DD7">
        <w:fldChar w:fldCharType="end"/>
      </w:r>
      <w:r w:rsidRPr="004D4DD7">
        <w:t>.  On 24 March 2000 the</w:t>
      </w:r>
      <w:r w:rsidRPr="004D4DD7" w:rsidR="00C713FB">
        <w:t xml:space="preserve"> applicants</w:t>
      </w:r>
      <w:r w:rsidRPr="004D4DD7">
        <w:t xml:space="preserve"> got married.</w:t>
      </w:r>
    </w:p>
    <w:p w:rsidRPr="004D4DD7" w:rsidR="00AF2597" w:rsidP="004D4DD7" w:rsidRDefault="00AF2597">
      <w:pPr>
        <w:pStyle w:val="ECHRPara"/>
      </w:pPr>
      <w:r w:rsidRPr="004D4DD7">
        <w:fldChar w:fldCharType="begin"/>
      </w:r>
      <w:r w:rsidRPr="004D4DD7">
        <w:instrText xml:space="preserve"> SEQ level0 \*arabic </w:instrText>
      </w:r>
      <w:r w:rsidRPr="004D4DD7">
        <w:fldChar w:fldCharType="separate"/>
      </w:r>
      <w:r w:rsidRPr="004D4DD7" w:rsidR="004D4DD7">
        <w:rPr>
          <w:noProof/>
        </w:rPr>
        <w:t>7</w:t>
      </w:r>
      <w:r w:rsidRPr="004D4DD7">
        <w:fldChar w:fldCharType="end"/>
      </w:r>
      <w:r w:rsidRPr="004D4DD7">
        <w:t>.  On 16 February 2001 the first applicant was found guilty of a number of criminal offences and was sentenced to life imprisonment.</w:t>
      </w:r>
    </w:p>
    <w:p w:rsidRPr="004D4DD7" w:rsidR="006B60A7" w:rsidP="004D4DD7" w:rsidRDefault="006B60A7">
      <w:pPr>
        <w:pStyle w:val="ECHRPara"/>
      </w:pPr>
      <w:r w:rsidRPr="004D4DD7">
        <w:fldChar w:fldCharType="begin"/>
      </w:r>
      <w:r w:rsidRPr="004D4DD7">
        <w:instrText xml:space="preserve"> SEQ level0 \*arabic </w:instrText>
      </w:r>
      <w:r w:rsidRPr="004D4DD7">
        <w:fldChar w:fldCharType="separate"/>
      </w:r>
      <w:r w:rsidRPr="004D4DD7" w:rsidR="004D4DD7">
        <w:rPr>
          <w:noProof/>
        </w:rPr>
        <w:t>8</w:t>
      </w:r>
      <w:r w:rsidRPr="004D4DD7">
        <w:fldChar w:fldCharType="end"/>
      </w:r>
      <w:r w:rsidRPr="004D4DD7">
        <w:t xml:space="preserve">.  The applicants requested that the prison administration allow them a long-term </w:t>
      </w:r>
      <w:r w:rsidRPr="004D4DD7" w:rsidR="004879C1">
        <w:t xml:space="preserve">family </w:t>
      </w:r>
      <w:r w:rsidRPr="004D4DD7">
        <w:t xml:space="preserve">visit on many occasions, in particular, in 2006. Their requests were rejected on the grounds that Article 151 of the Code of Execution of Sentences did not provide for long-term visits to </w:t>
      </w:r>
      <w:r w:rsidRPr="004D4DD7" w:rsidR="00C713FB">
        <w:t xml:space="preserve">life </w:t>
      </w:r>
      <w:r w:rsidRPr="004D4DD7">
        <w:t>prisoners.</w:t>
      </w:r>
    </w:p>
    <w:bookmarkStart w:name="Administrative_claims_by_applicants" w:id="1"/>
    <w:p w:rsidRPr="004D4DD7" w:rsidR="006B60A7" w:rsidP="004D4DD7" w:rsidRDefault="006B60A7">
      <w:pPr>
        <w:pStyle w:val="ECHRPara"/>
      </w:pPr>
      <w:r w:rsidRPr="004D4DD7">
        <w:fldChar w:fldCharType="begin"/>
      </w:r>
      <w:r w:rsidRPr="004D4DD7">
        <w:instrText xml:space="preserve"> SEQ level0 \*arabic </w:instrText>
      </w:r>
      <w:r w:rsidRPr="004D4DD7">
        <w:fldChar w:fldCharType="separate"/>
      </w:r>
      <w:r w:rsidRPr="004D4DD7" w:rsidR="004D4DD7">
        <w:rPr>
          <w:noProof/>
        </w:rPr>
        <w:t>9</w:t>
      </w:r>
      <w:r w:rsidRPr="004D4DD7">
        <w:fldChar w:fldCharType="end"/>
      </w:r>
      <w:bookmarkEnd w:id="1"/>
      <w:r w:rsidRPr="004D4DD7">
        <w:t xml:space="preserve">.  In April 2007 the applicants lodged an administrative claim against the State Department for Enforcement of Sentences seeking an entitlement to a long-term </w:t>
      </w:r>
      <w:r w:rsidRPr="004D4DD7" w:rsidR="00D8635D">
        <w:t xml:space="preserve">conjugal </w:t>
      </w:r>
      <w:r w:rsidRPr="004D4DD7">
        <w:t xml:space="preserve">visit every three months. </w:t>
      </w:r>
      <w:r w:rsidRPr="004D4DD7" w:rsidR="00D8635D">
        <w:t xml:space="preserve">They submitted that they were willing to have a common child and that a denial of that right to them was unlawful and arbitrary. </w:t>
      </w:r>
      <w:r w:rsidRPr="004D4DD7">
        <w:t>The courts, on three levels of jurisdiction, rejected that claim as not based on law. The final decision of the Higher Administrative Court was delivered on 8 December 2009.</w:t>
      </w:r>
    </w:p>
    <w:bookmarkStart w:name="Disciplinary_measures" w:id="2"/>
    <w:p w:rsidRPr="004D4DD7" w:rsidR="00F77A1D" w:rsidP="004D4DD7" w:rsidRDefault="006073B9">
      <w:pPr>
        <w:pStyle w:val="ECHRPara"/>
      </w:pPr>
      <w:r w:rsidRPr="004D4DD7">
        <w:fldChar w:fldCharType="begin"/>
      </w:r>
      <w:r w:rsidRPr="004D4DD7">
        <w:instrText xml:space="preserve"> SEQ level0 \*arabic </w:instrText>
      </w:r>
      <w:r w:rsidRPr="004D4DD7">
        <w:fldChar w:fldCharType="separate"/>
      </w:r>
      <w:r w:rsidRPr="004D4DD7" w:rsidR="004D4DD7">
        <w:rPr>
          <w:noProof/>
        </w:rPr>
        <w:t>10</w:t>
      </w:r>
      <w:r w:rsidRPr="004D4DD7">
        <w:fldChar w:fldCharType="end"/>
      </w:r>
      <w:bookmarkEnd w:id="2"/>
      <w:r w:rsidRPr="004D4DD7">
        <w:t>.  </w:t>
      </w:r>
      <w:r w:rsidRPr="004D4DD7" w:rsidR="000D0FC8">
        <w:t>According to the information provided by the Government, t</w:t>
      </w:r>
      <w:r w:rsidRPr="004D4DD7">
        <w:t xml:space="preserve">he first applicant was disciplined on three occasions during the period of his detention from 2001 to 2016: once in 2001 following the discovery of an unreported written message on him; once in 2003 on account of his attempt to get in touch with an inmate in </w:t>
      </w:r>
      <w:r w:rsidRPr="004D4DD7" w:rsidR="000D0FC8">
        <w:t>an</w:t>
      </w:r>
      <w:r w:rsidRPr="004D4DD7">
        <w:t xml:space="preserve"> adjacent cell; and once in 2013 on account of </w:t>
      </w:r>
      <w:r w:rsidRPr="004D4DD7" w:rsidR="005E3892">
        <w:t>unauthorised possession of</w:t>
      </w:r>
      <w:r w:rsidRPr="004D4DD7">
        <w:t xml:space="preserve"> a mobile telephone.</w:t>
      </w:r>
    </w:p>
    <w:bookmarkStart w:name="Divorce" w:id="3"/>
    <w:p w:rsidRPr="004D4DD7" w:rsidR="004879C1" w:rsidP="004D4DD7" w:rsidRDefault="004879C1">
      <w:pPr>
        <w:pStyle w:val="ECHRPara"/>
      </w:pPr>
      <w:r w:rsidRPr="004D4DD7">
        <w:fldChar w:fldCharType="begin"/>
      </w:r>
      <w:r w:rsidRPr="004D4DD7">
        <w:instrText xml:space="preserve"> SEQ level0 \*arabic </w:instrText>
      </w:r>
      <w:r w:rsidRPr="004D4DD7">
        <w:fldChar w:fldCharType="separate"/>
      </w:r>
      <w:r w:rsidRPr="004D4DD7" w:rsidR="004D4DD7">
        <w:rPr>
          <w:noProof/>
        </w:rPr>
        <w:t>11</w:t>
      </w:r>
      <w:r w:rsidRPr="004D4DD7">
        <w:fldChar w:fldCharType="end"/>
      </w:r>
      <w:bookmarkEnd w:id="3"/>
      <w:r w:rsidRPr="004D4DD7">
        <w:t>.  The applicants got divorced on an unspecified date. According to the Government, it happened “shortly after the introduction of the application”. According to the applicants, the divorce took place on an unspecified date in 2014.</w:t>
      </w:r>
    </w:p>
    <w:bookmarkStart w:name="Meetings_other_woman" w:id="4"/>
    <w:p w:rsidRPr="004D4DD7" w:rsidR="00800560" w:rsidP="004D4DD7" w:rsidRDefault="00800560">
      <w:pPr>
        <w:pStyle w:val="ECHRPara"/>
      </w:pPr>
      <w:r w:rsidRPr="004D4DD7">
        <w:fldChar w:fldCharType="begin"/>
      </w:r>
      <w:r w:rsidRPr="004D4DD7">
        <w:instrText xml:space="preserve"> SEQ level0 \*arabic </w:instrText>
      </w:r>
      <w:r w:rsidRPr="004D4DD7">
        <w:fldChar w:fldCharType="separate"/>
      </w:r>
      <w:r w:rsidRPr="004D4DD7" w:rsidR="004D4DD7">
        <w:rPr>
          <w:noProof/>
        </w:rPr>
        <w:t>12</w:t>
      </w:r>
      <w:r w:rsidRPr="004D4DD7">
        <w:fldChar w:fldCharType="end"/>
      </w:r>
      <w:bookmarkEnd w:id="4"/>
      <w:r w:rsidRPr="004D4DD7">
        <w:t>.  A</w:t>
      </w:r>
      <w:r w:rsidRPr="004D4DD7" w:rsidR="002F3AFF">
        <w:t xml:space="preserve">s indicated in </w:t>
      </w:r>
      <w:r w:rsidRPr="004D4DD7">
        <w:t xml:space="preserve">the information </w:t>
      </w:r>
      <w:r w:rsidRPr="004D4DD7" w:rsidR="002F3AFF">
        <w:t xml:space="preserve">note </w:t>
      </w:r>
      <w:r w:rsidRPr="004D4DD7" w:rsidR="00132C07">
        <w:t>issued on 24 June 2016</w:t>
      </w:r>
      <w:r w:rsidRPr="004D4DD7">
        <w:t xml:space="preserve"> by the administration of Dnipropetrovsk </w:t>
      </w:r>
      <w:r w:rsidRPr="004D4DD7" w:rsidR="001D7FD7">
        <w:t>P</w:t>
      </w:r>
      <w:r w:rsidRPr="004D4DD7">
        <w:t xml:space="preserve">rison no. 89, during his detention </w:t>
      </w:r>
      <w:r w:rsidRPr="004D4DD7" w:rsidR="002F3AFF">
        <w:t>in that prison</w:t>
      </w:r>
      <w:r w:rsidRPr="004D4DD7">
        <w:t xml:space="preserve"> </w:t>
      </w:r>
      <w:r w:rsidRPr="004D4DD7" w:rsidR="00132C07">
        <w:t xml:space="preserve">starting </w:t>
      </w:r>
      <w:r w:rsidRPr="004D4DD7">
        <w:t xml:space="preserve">from 2003, the first applicant had </w:t>
      </w:r>
      <w:r w:rsidRPr="004D4DD7" w:rsidR="00026B84">
        <w:t xml:space="preserve">had </w:t>
      </w:r>
      <w:r w:rsidRPr="004D4DD7">
        <w:t xml:space="preserve">forty short-term visits and nine long-term family visits. More specifically, on 10 December 2003 and 10 June 2004 he had short-term visits from the second applicant, as well as his mother </w:t>
      </w:r>
      <w:r w:rsidRPr="004D4DD7" w:rsidR="004879C1">
        <w:t xml:space="preserve">and sister. The second applicant did not pay him visits thereafter. During the period from 2004 to 2012 the first applicant had regular short-term visits from his mother, sister and some other persons. On 13 September 2012 he had a visit from his sister and a certain Ms L. who was registered </w:t>
      </w:r>
      <w:r w:rsidRPr="004D4DD7" w:rsidR="002F3AFF">
        <w:t>in the prison</w:t>
      </w:r>
      <w:r w:rsidRPr="004D4DD7" w:rsidR="004D4DD7">
        <w:t>’</w:t>
      </w:r>
      <w:r w:rsidRPr="004D4DD7" w:rsidR="002F3AFF">
        <w:t xml:space="preserve">s logbook </w:t>
      </w:r>
      <w:r w:rsidRPr="004D4DD7" w:rsidR="004879C1">
        <w:t>as his fiancée. Since then he had regular short-term visits from Ms L. On 11 July 2014 the first applicant was allowed for the first time a long-term family visit, which was from his sister. On 5 December 2014 the first applicant got married with Ms L. and they were allowed a long-term family visit on that occasion.</w:t>
      </w:r>
      <w:r w:rsidRPr="004D4DD7" w:rsidR="00A16177">
        <w:t xml:space="preserve"> Subsequently, they enjoyed long-term </w:t>
      </w:r>
      <w:r w:rsidRPr="004D4DD7" w:rsidR="00152C78">
        <w:t>conjugal</w:t>
      </w:r>
      <w:r w:rsidRPr="004D4DD7" w:rsidR="00A16177">
        <w:t xml:space="preserve"> visits about every three months.</w:t>
      </w:r>
    </w:p>
    <w:p w:rsidRPr="004D4DD7" w:rsidR="00D420F3" w:rsidP="004D4DD7" w:rsidRDefault="0077175D">
      <w:pPr>
        <w:pStyle w:val="ECHRHeading1"/>
      </w:pPr>
      <w:r w:rsidRPr="004D4DD7">
        <w:t>II.  RELEVANT DO</w:t>
      </w:r>
      <w:r w:rsidRPr="004D4DD7" w:rsidR="00F77A1D">
        <w:t>MESTIC LAW</w:t>
      </w:r>
    </w:p>
    <w:p w:rsidRPr="004D4DD7" w:rsidR="000C7F21" w:rsidP="004D4DD7" w:rsidRDefault="000C7F21">
      <w:pPr>
        <w:pStyle w:val="ECHRHeading2"/>
      </w:pPr>
      <w:r w:rsidRPr="004D4DD7">
        <w:t>A.  </w:t>
      </w:r>
      <w:r w:rsidRPr="004D4DD7" w:rsidR="00DC0E97">
        <w:t>Criminal Code</w:t>
      </w:r>
      <w:r w:rsidRPr="004D4DD7" w:rsidR="003F23A8">
        <w:t>s</w:t>
      </w:r>
      <w:r w:rsidRPr="004D4DD7" w:rsidR="00DC0E97">
        <w:t xml:space="preserve"> </w:t>
      </w:r>
      <w:r w:rsidRPr="004D4DD7">
        <w:t>(</w:t>
      </w:r>
      <w:r w:rsidRPr="004D4DD7" w:rsidR="003F23A8">
        <w:t>1960 and 2001</w:t>
      </w:r>
      <w:r w:rsidRPr="004D4DD7">
        <w:t>)</w:t>
      </w:r>
    </w:p>
    <w:bookmarkStart w:name="Life_sentence_begin" w:id="5"/>
    <w:p w:rsidRPr="004D4DD7" w:rsidR="00DC0E97" w:rsidP="004D4DD7" w:rsidRDefault="00DC0E97">
      <w:pPr>
        <w:pStyle w:val="ECHRPara"/>
      </w:pPr>
      <w:r w:rsidRPr="004D4DD7">
        <w:fldChar w:fldCharType="begin"/>
      </w:r>
      <w:r w:rsidRPr="004D4DD7">
        <w:instrText xml:space="preserve"> SEQ level0 \*arabic </w:instrText>
      </w:r>
      <w:r w:rsidRPr="004D4DD7">
        <w:fldChar w:fldCharType="separate"/>
      </w:r>
      <w:r w:rsidRPr="004D4DD7" w:rsidR="004D4DD7">
        <w:rPr>
          <w:noProof/>
        </w:rPr>
        <w:t>13</w:t>
      </w:r>
      <w:r w:rsidRPr="004D4DD7">
        <w:fldChar w:fldCharType="end"/>
      </w:r>
      <w:bookmarkEnd w:id="5"/>
      <w:r w:rsidRPr="004D4DD7">
        <w:t xml:space="preserve">.  The penalty of life imprisonment was introduced in the Criminal Code 1960 by the legislative amendments adopted by the Verkhovna Rada of Ukraine (the Parliament) on 22 February 2000 as </w:t>
      </w:r>
      <w:r w:rsidRPr="004D4DD7" w:rsidR="00C66D59">
        <w:t xml:space="preserve">a </w:t>
      </w:r>
      <w:r w:rsidRPr="004D4DD7">
        <w:t>follow-up to the decision of the Constitutional Court of 29 December 1999, by which the death penalty existing until then had been declared to be contrary to the Constitution of Ukraine. The above-mentioned amendments entered into force on 29 March 2000.</w:t>
      </w:r>
    </w:p>
    <w:bookmarkStart w:name="Life_sentence_end" w:id="6"/>
    <w:p w:rsidRPr="004D4DD7" w:rsidR="00DC0E97" w:rsidP="004D4DD7" w:rsidRDefault="00DC0E97">
      <w:pPr>
        <w:pStyle w:val="ECHRPara"/>
      </w:pPr>
      <w:r w:rsidRPr="004D4DD7">
        <w:fldChar w:fldCharType="begin"/>
      </w:r>
      <w:r w:rsidRPr="004D4DD7">
        <w:instrText xml:space="preserve"> SEQ level0 \*arabic </w:instrText>
      </w:r>
      <w:r w:rsidRPr="004D4DD7">
        <w:fldChar w:fldCharType="separate"/>
      </w:r>
      <w:r w:rsidRPr="004D4DD7" w:rsidR="004D4DD7">
        <w:rPr>
          <w:noProof/>
        </w:rPr>
        <w:t>14</w:t>
      </w:r>
      <w:r w:rsidRPr="004D4DD7">
        <w:fldChar w:fldCharType="end"/>
      </w:r>
      <w:bookmarkEnd w:id="6"/>
      <w:r w:rsidRPr="004D4DD7">
        <w:t>.  On 5 April 2001 the Parliament adopted a new Criminal Code which entered into force on 1 September 2001. Its relevant provision read</w:t>
      </w:r>
      <w:r w:rsidRPr="004D4DD7" w:rsidR="00CC40AD">
        <w:t>s</w:t>
      </w:r>
      <w:r w:rsidRPr="004D4DD7">
        <w:t xml:space="preserve"> as follows:</w:t>
      </w:r>
    </w:p>
    <w:p w:rsidRPr="004D4DD7" w:rsidR="00DC0E97" w:rsidP="004D4DD7" w:rsidRDefault="00DC0E97">
      <w:pPr>
        <w:pStyle w:val="ECHRTitleCentre3"/>
      </w:pPr>
      <w:r w:rsidRPr="004D4DD7">
        <w:t>Article 64. Life imprisonment</w:t>
      </w:r>
    </w:p>
    <w:p w:rsidRPr="004D4DD7" w:rsidR="00DC0E97" w:rsidP="004D4DD7" w:rsidRDefault="00DC0E97">
      <w:pPr>
        <w:pStyle w:val="ECHRParaQuote"/>
      </w:pPr>
      <w:r w:rsidRPr="004D4DD7">
        <w:t>“Life imprisonment is envisaged [as punishment] for particularly serious crimes and shall be applied only in cases explicitly provided for by this Code and where a court does not consider it possible to apply fixed-term imprisonment.</w:t>
      </w:r>
      <w:r w:rsidRPr="004D4DD7" w:rsidR="003F23A8">
        <w:t xml:space="preserve"> </w:t>
      </w:r>
      <w:r w:rsidRPr="004D4DD7" w:rsidR="000A7E6B">
        <w:t>...</w:t>
      </w:r>
      <w:r w:rsidRPr="004D4DD7" w:rsidR="003F23A8">
        <w:t>”</w:t>
      </w:r>
    </w:p>
    <w:p w:rsidRPr="004D4DD7" w:rsidR="00DC0E97" w:rsidP="004D4DD7" w:rsidRDefault="00DC0E97">
      <w:pPr>
        <w:pStyle w:val="ECHRHeading2"/>
      </w:pPr>
      <w:r w:rsidRPr="004D4DD7">
        <w:t>B.  Code of Execution of Criminal Sentences (2003)</w:t>
      </w:r>
    </w:p>
    <w:bookmarkStart w:name="Code_Enforcement_Art110" w:id="7"/>
    <w:p w:rsidRPr="004D4DD7" w:rsidR="000A7E6B" w:rsidP="004D4DD7" w:rsidRDefault="003F23A8">
      <w:pPr>
        <w:pStyle w:val="ECHRPara"/>
      </w:pPr>
      <w:r w:rsidRPr="004D4DD7">
        <w:fldChar w:fldCharType="begin"/>
      </w:r>
      <w:r w:rsidRPr="004D4DD7">
        <w:instrText xml:space="preserve"> SEQ level0 \*arabic </w:instrText>
      </w:r>
      <w:r w:rsidRPr="004D4DD7">
        <w:fldChar w:fldCharType="separate"/>
      </w:r>
      <w:r w:rsidRPr="004D4DD7" w:rsidR="004D4DD7">
        <w:rPr>
          <w:noProof/>
        </w:rPr>
        <w:t>15</w:t>
      </w:r>
      <w:r w:rsidRPr="004D4DD7">
        <w:fldChar w:fldCharType="end"/>
      </w:r>
      <w:bookmarkEnd w:id="7"/>
      <w:r w:rsidRPr="004D4DD7">
        <w:t>.  </w:t>
      </w:r>
      <w:r w:rsidRPr="004D4DD7" w:rsidR="00DC0E97">
        <w:t xml:space="preserve">Pursuant to Article 110 of the Code of Execution of Criminal Sentences (“the Code”), a short-term visit in a prison lasts up to four hours and a long-term visit – up to three days. Short-term visits may be allowed with relatives or other persons and take place in the presence of a prison official. Long-term visits may be allowed only with close relatives and </w:t>
      </w:r>
      <w:r w:rsidRPr="004D4DD7" w:rsidR="00C66D59">
        <w:t xml:space="preserve">entails </w:t>
      </w:r>
      <w:r w:rsidRPr="004D4DD7" w:rsidR="00DC0E97">
        <w:t>living in the same room.</w:t>
      </w:r>
    </w:p>
    <w:bookmarkStart w:name="Code_Enforcement_Art138_140" w:id="8"/>
    <w:p w:rsidRPr="004D4DD7" w:rsidR="000C7F21" w:rsidP="004D4DD7" w:rsidRDefault="000C7F21">
      <w:pPr>
        <w:pStyle w:val="ECHRPara"/>
      </w:pPr>
      <w:r w:rsidRPr="004D4DD7">
        <w:fldChar w:fldCharType="begin"/>
      </w:r>
      <w:r w:rsidRPr="004D4DD7">
        <w:instrText xml:space="preserve"> SEQ level0 \*arabic </w:instrText>
      </w:r>
      <w:r w:rsidRPr="004D4DD7">
        <w:fldChar w:fldCharType="separate"/>
      </w:r>
      <w:r w:rsidRPr="004D4DD7" w:rsidR="004D4DD7">
        <w:rPr>
          <w:noProof/>
        </w:rPr>
        <w:t>16</w:t>
      </w:r>
      <w:r w:rsidRPr="004D4DD7">
        <w:fldChar w:fldCharType="end"/>
      </w:r>
      <w:bookmarkEnd w:id="8"/>
      <w:r w:rsidRPr="004D4DD7">
        <w:t xml:space="preserve">.  Under Articles 138-140 of the Code, prisoners serving a fixed-term sentence were entitled to one short-term visit monthly and one long-term family visit every three months. Following the amendments of 7 September 2016, the above-mentioned became the minimum visiting entitlement of fixed-term prisoners detained in the “enhanced control sector”. Those detained in </w:t>
      </w:r>
      <w:r w:rsidRPr="004D4DD7" w:rsidR="00586BCF">
        <w:t xml:space="preserve">the </w:t>
      </w:r>
      <w:r w:rsidRPr="004D4DD7">
        <w:t xml:space="preserve">“resocialisation sector” </w:t>
      </w:r>
      <w:r w:rsidRPr="004D4DD7" w:rsidR="00586BCF">
        <w:t>are</w:t>
      </w:r>
      <w:r w:rsidRPr="004D4DD7">
        <w:t xml:space="preserve"> entitled to </w:t>
      </w:r>
      <w:r w:rsidRPr="004D4DD7" w:rsidR="00586BCF">
        <w:t>short-term visit monthly and one long-term family visit every two months. Lastly, fixed-term prisoners detained in the “social rehabilitation sector” have the right to as many short-term visits as they wish and to a long-term family visit monthly.</w:t>
      </w:r>
    </w:p>
    <w:bookmarkStart w:name="Code_Enforcement_Art151_begin" w:id="9"/>
    <w:p w:rsidRPr="004D4DD7" w:rsidR="006B60A7" w:rsidP="004D4DD7" w:rsidRDefault="006B60A7">
      <w:pPr>
        <w:pStyle w:val="ECHRPara"/>
      </w:pPr>
      <w:r w:rsidRPr="004D4DD7">
        <w:fldChar w:fldCharType="begin"/>
      </w:r>
      <w:r w:rsidRPr="004D4DD7">
        <w:instrText xml:space="preserve"> SEQ level0 \*arabic </w:instrText>
      </w:r>
      <w:r w:rsidRPr="004D4DD7">
        <w:fldChar w:fldCharType="separate"/>
      </w:r>
      <w:r w:rsidRPr="004D4DD7" w:rsidR="004D4DD7">
        <w:rPr>
          <w:noProof/>
        </w:rPr>
        <w:t>17</w:t>
      </w:r>
      <w:r w:rsidRPr="004D4DD7">
        <w:fldChar w:fldCharType="end"/>
      </w:r>
      <w:bookmarkEnd w:id="9"/>
      <w:r w:rsidRPr="004D4DD7">
        <w:t>.  Under Article 151 of the Code, convicted prisoners sentenced to life imprisonment were entitled to one short-term visit every six months.</w:t>
      </w:r>
      <w:r w:rsidRPr="004D4DD7" w:rsidR="00985A32">
        <w:t xml:space="preserve"> </w:t>
      </w:r>
      <w:r w:rsidRPr="004D4DD7">
        <w:t xml:space="preserve">Following </w:t>
      </w:r>
      <w:r w:rsidRPr="004D4DD7" w:rsidR="00586BCF">
        <w:t>the amendments of 16 February 2010</w:t>
      </w:r>
      <w:r w:rsidRPr="004D4DD7">
        <w:t xml:space="preserve">, </w:t>
      </w:r>
      <w:r w:rsidRPr="004D4DD7" w:rsidR="00586BCF">
        <w:t>they</w:t>
      </w:r>
      <w:r w:rsidRPr="004D4DD7">
        <w:t xml:space="preserve"> became entitled to one short-term visit every three months.</w:t>
      </w:r>
    </w:p>
    <w:p w:rsidRPr="004D4DD7" w:rsidR="006B60A7" w:rsidP="004D4DD7" w:rsidRDefault="006B60A7">
      <w:pPr>
        <w:pStyle w:val="ECHRPara"/>
      </w:pPr>
      <w:r w:rsidRPr="004D4DD7">
        <w:fldChar w:fldCharType="begin"/>
      </w:r>
      <w:r w:rsidRPr="004D4DD7">
        <w:instrText xml:space="preserve"> SEQ level0 \*arabic </w:instrText>
      </w:r>
      <w:r w:rsidRPr="004D4DD7">
        <w:fldChar w:fldCharType="separate"/>
      </w:r>
      <w:r w:rsidRPr="004D4DD7" w:rsidR="004D4DD7">
        <w:rPr>
          <w:noProof/>
        </w:rPr>
        <w:t>18</w:t>
      </w:r>
      <w:r w:rsidRPr="004D4DD7">
        <w:fldChar w:fldCharType="end"/>
      </w:r>
      <w:r w:rsidRPr="004D4DD7">
        <w:t xml:space="preserve">.  Subsequently, Article 151 of the Code was further amended, with those changes coming into effect on </w:t>
      </w:r>
      <w:r w:rsidRPr="004D4DD7" w:rsidR="003833C2">
        <w:t xml:space="preserve">7 </w:t>
      </w:r>
      <w:r w:rsidRPr="004D4DD7">
        <w:t xml:space="preserve">May 2014, after which prisoners serving a life sentence became entitled to one short-term visit per month and to one long-term </w:t>
      </w:r>
      <w:r w:rsidRPr="004D4DD7" w:rsidR="00985A32">
        <w:t xml:space="preserve">family </w:t>
      </w:r>
      <w:r w:rsidRPr="004D4DD7">
        <w:t>visit every three months.</w:t>
      </w:r>
    </w:p>
    <w:bookmarkStart w:name="Code_Enforcement_Art151_end" w:id="10"/>
    <w:p w:rsidRPr="004D4DD7" w:rsidR="000A7E6B" w:rsidP="004D4DD7" w:rsidRDefault="006B60A7">
      <w:pPr>
        <w:pStyle w:val="ECHRPara"/>
      </w:pPr>
      <w:r w:rsidRPr="004D4DD7">
        <w:fldChar w:fldCharType="begin"/>
      </w:r>
      <w:r w:rsidRPr="004D4DD7">
        <w:instrText xml:space="preserve"> SEQ level0 \*arabic </w:instrText>
      </w:r>
      <w:r w:rsidRPr="004D4DD7">
        <w:fldChar w:fldCharType="separate"/>
      </w:r>
      <w:r w:rsidRPr="004D4DD7" w:rsidR="004D4DD7">
        <w:rPr>
          <w:noProof/>
        </w:rPr>
        <w:t>19</w:t>
      </w:r>
      <w:r w:rsidRPr="004D4DD7">
        <w:fldChar w:fldCharType="end"/>
      </w:r>
      <w:bookmarkEnd w:id="10"/>
      <w:r w:rsidRPr="004D4DD7">
        <w:t>.  Following another round of amendments, which were enacted on 7 September 2016, life</w:t>
      </w:r>
      <w:r w:rsidRPr="004D4DD7" w:rsidR="00985A32">
        <w:t xml:space="preserve"> </w:t>
      </w:r>
      <w:r w:rsidRPr="004D4DD7">
        <w:t xml:space="preserve">prisoners are now entitled to one long-term </w:t>
      </w:r>
      <w:r w:rsidRPr="004D4DD7" w:rsidR="00985A32">
        <w:t xml:space="preserve">family </w:t>
      </w:r>
      <w:r w:rsidRPr="004D4DD7">
        <w:t>visit every two months.</w:t>
      </w:r>
    </w:p>
    <w:p w:rsidRPr="004D4DD7" w:rsidR="00891CD7" w:rsidP="004D4DD7" w:rsidRDefault="00221888">
      <w:pPr>
        <w:pStyle w:val="ECHRHeading2"/>
      </w:pPr>
      <w:r w:rsidRPr="004D4DD7">
        <w:t>C</w:t>
      </w:r>
      <w:r w:rsidRPr="004D4DD7" w:rsidR="00891CD7">
        <w:t>.  </w:t>
      </w:r>
      <w:bookmarkStart w:name="_Toc389553040" w:id="11"/>
      <w:r w:rsidRPr="004D4DD7" w:rsidR="00BC5890">
        <w:t>Internal Rules for Establishments Enforcing Sentences approved by the Order of the State Department for the Enforcement of Sentences of 25 December 2003 (“the Prison Rules”) (repealed on 29 December 2014)</w:t>
      </w:r>
      <w:bookmarkEnd w:id="11"/>
    </w:p>
    <w:p w:rsidRPr="004D4DD7" w:rsidR="00AF7842" w:rsidP="004D4DD7" w:rsidRDefault="00AF7842">
      <w:pPr>
        <w:pStyle w:val="ECHRPara"/>
      </w:pPr>
      <w:r w:rsidRPr="004D4DD7">
        <w:fldChar w:fldCharType="begin"/>
      </w:r>
      <w:r w:rsidRPr="004D4DD7">
        <w:instrText xml:space="preserve"> SEQ level0 \*arabic </w:instrText>
      </w:r>
      <w:r w:rsidRPr="004D4DD7">
        <w:fldChar w:fldCharType="separate"/>
      </w:r>
      <w:r w:rsidRPr="004D4DD7" w:rsidR="004D4DD7">
        <w:rPr>
          <w:noProof/>
        </w:rPr>
        <w:t>20</w:t>
      </w:r>
      <w:r w:rsidRPr="004D4DD7">
        <w:fldChar w:fldCharType="end"/>
      </w:r>
      <w:r w:rsidRPr="004D4DD7">
        <w:t xml:space="preserve">.  The relevant provisions are summarised in </w:t>
      </w:r>
      <w:r w:rsidRPr="004D4DD7">
        <w:rPr>
          <w:i/>
        </w:rPr>
        <w:t>Trosin v. Ukraine</w:t>
      </w:r>
      <w:r w:rsidRPr="004D4DD7">
        <w:t xml:space="preserve"> (no. 39758/05, § 29, 23 February 2012).</w:t>
      </w:r>
    </w:p>
    <w:p w:rsidRPr="004D4DD7" w:rsidR="00D664EA" w:rsidP="004D4DD7" w:rsidRDefault="00D664EA">
      <w:pPr>
        <w:pStyle w:val="ECHRHeading1"/>
        <w:rPr>
          <w:caps/>
        </w:rPr>
      </w:pPr>
      <w:r w:rsidRPr="004D4DD7">
        <w:rPr>
          <w:caps/>
        </w:rPr>
        <w:t>III.  </w:t>
      </w:r>
      <w:r w:rsidRPr="004D4DD7">
        <w:rPr>
          <w:rFonts w:eastAsia="Times New Roman" w:cs="Times New Roman"/>
          <w:caps/>
          <w:szCs w:val="20"/>
          <w:lang w:eastAsia="fr-FR"/>
        </w:rPr>
        <w:t>Relevant Council of Europe documents</w:t>
      </w:r>
    </w:p>
    <w:p w:rsidRPr="004D4DD7" w:rsidR="00D664EA" w:rsidP="004D4DD7" w:rsidRDefault="002D161E">
      <w:pPr>
        <w:pStyle w:val="ECHRPara"/>
      </w:pPr>
      <w:r w:rsidRPr="004D4DD7">
        <w:fldChar w:fldCharType="begin"/>
      </w:r>
      <w:r w:rsidRPr="004D4DD7">
        <w:instrText xml:space="preserve"> SEQ level0 \*arabic </w:instrText>
      </w:r>
      <w:r w:rsidRPr="004D4DD7">
        <w:fldChar w:fldCharType="separate"/>
      </w:r>
      <w:r w:rsidRPr="004D4DD7" w:rsidR="004D4DD7">
        <w:rPr>
          <w:noProof/>
        </w:rPr>
        <w:t>21</w:t>
      </w:r>
      <w:r w:rsidRPr="004D4DD7">
        <w:rPr>
          <w:noProof/>
        </w:rPr>
        <w:fldChar w:fldCharType="end"/>
      </w:r>
      <w:r w:rsidRPr="004D4DD7" w:rsidR="00D664EA">
        <w:t xml:space="preserve">.  The Council of Europe material pertaining to family visits to prisoners was quoted in </w:t>
      </w:r>
      <w:r w:rsidRPr="004D4DD7" w:rsidR="00D664EA">
        <w:rPr>
          <w:i/>
        </w:rPr>
        <w:t xml:space="preserve">Khoroshenko v. Russia </w:t>
      </w:r>
      <w:r w:rsidRPr="004D4DD7" w:rsidR="00D664EA">
        <w:t>([GC], no. 41418/04, §§</w:t>
      </w:r>
      <w:r w:rsidRPr="004D4DD7" w:rsidR="0044229F">
        <w:t> 58</w:t>
      </w:r>
      <w:r w:rsidRPr="004D4DD7" w:rsidR="0044229F">
        <w:noBreakHyphen/>
      </w:r>
      <w:r w:rsidRPr="004D4DD7" w:rsidR="00D664EA">
        <w:t>67, ECHR 2015).</w:t>
      </w:r>
    </w:p>
    <w:bookmarkStart w:name="CPT_report" w:id="12"/>
    <w:p w:rsidRPr="004D4DD7" w:rsidR="005574CB" w:rsidP="004D4DD7" w:rsidRDefault="00021183">
      <w:pPr>
        <w:pStyle w:val="ECHRPara"/>
        <w:rPr>
          <w:lang w:val="en-US"/>
        </w:rPr>
      </w:pPr>
      <w:r w:rsidRPr="004D4DD7">
        <w:rPr>
          <w:lang w:val="en-US"/>
        </w:rPr>
        <w:fldChar w:fldCharType="begin"/>
      </w:r>
      <w:r w:rsidRPr="004D4DD7">
        <w:rPr>
          <w:lang w:val="en-US"/>
        </w:rPr>
        <w:instrText xml:space="preserve"> SEQ level0 \*arabic </w:instrText>
      </w:r>
      <w:r w:rsidRPr="004D4DD7">
        <w:rPr>
          <w:lang w:val="en-US"/>
        </w:rPr>
        <w:fldChar w:fldCharType="separate"/>
      </w:r>
      <w:r w:rsidRPr="004D4DD7" w:rsidR="004D4DD7">
        <w:rPr>
          <w:noProof/>
          <w:lang w:val="en-US"/>
        </w:rPr>
        <w:t>22</w:t>
      </w:r>
      <w:r w:rsidRPr="004D4DD7">
        <w:rPr>
          <w:lang w:val="en-US"/>
        </w:rPr>
        <w:fldChar w:fldCharType="end"/>
      </w:r>
      <w:bookmarkEnd w:id="12"/>
      <w:r w:rsidRPr="004D4DD7">
        <w:rPr>
          <w:lang w:val="en-US"/>
        </w:rPr>
        <w:t>.  </w:t>
      </w:r>
      <w:r w:rsidRPr="004D4DD7" w:rsidR="005574CB">
        <w:rPr>
          <w:lang w:val="en-US"/>
        </w:rPr>
        <w:t>The relevant excerpt</w:t>
      </w:r>
      <w:r w:rsidRPr="004D4DD7" w:rsidR="00B65288">
        <w:rPr>
          <w:lang w:val="en-US"/>
        </w:rPr>
        <w:t>s</w:t>
      </w:r>
      <w:r w:rsidRPr="004D4DD7" w:rsidR="005574CB">
        <w:rPr>
          <w:lang w:val="en-US"/>
        </w:rPr>
        <w:t xml:space="preserve"> from the Report to the Ukrainian Government on the visit to Ukraine carried out by the </w:t>
      </w:r>
      <w:r w:rsidRPr="004D4DD7" w:rsidR="00525185">
        <w:rPr>
          <w:lang w:val="en-US"/>
        </w:rPr>
        <w:t>European Committee for the Prevention of Torture and Inhuman or Degrading Treatment or Punishment (</w:t>
      </w:r>
      <w:r w:rsidRPr="004D4DD7" w:rsidR="005574CB">
        <w:rPr>
          <w:lang w:val="en-US"/>
        </w:rPr>
        <w:t>CPT</w:t>
      </w:r>
      <w:r w:rsidRPr="004D4DD7" w:rsidR="00525185">
        <w:rPr>
          <w:lang w:val="en-US"/>
        </w:rPr>
        <w:t>)</w:t>
      </w:r>
      <w:r w:rsidRPr="004D4DD7" w:rsidR="005574CB">
        <w:rPr>
          <w:lang w:val="en-US"/>
        </w:rPr>
        <w:t xml:space="preserve"> </w:t>
      </w:r>
      <w:r w:rsidRPr="004D4DD7" w:rsidR="005574CB">
        <w:rPr>
          <w:bCs/>
          <w:lang w:val="en-US"/>
        </w:rPr>
        <w:t xml:space="preserve">from </w:t>
      </w:r>
      <w:r w:rsidRPr="004D4DD7" w:rsidR="00525185">
        <w:rPr>
          <w:bCs/>
          <w:lang w:val="en-US"/>
        </w:rPr>
        <w:t>9 to 21 September 2009</w:t>
      </w:r>
      <w:r w:rsidRPr="004D4DD7" w:rsidR="005574CB">
        <w:rPr>
          <w:lang w:val="en-US"/>
        </w:rPr>
        <w:t xml:space="preserve"> (CPT/Inf (201</w:t>
      </w:r>
      <w:r w:rsidRPr="004D4DD7" w:rsidR="00525185">
        <w:rPr>
          <w:lang w:val="en-US"/>
        </w:rPr>
        <w:t>1</w:t>
      </w:r>
      <w:r w:rsidRPr="004D4DD7" w:rsidR="005574CB">
        <w:rPr>
          <w:lang w:val="en-US"/>
        </w:rPr>
        <w:t xml:space="preserve">) </w:t>
      </w:r>
      <w:r w:rsidRPr="004D4DD7" w:rsidR="00525185">
        <w:rPr>
          <w:lang w:val="en-US"/>
        </w:rPr>
        <w:t>29</w:t>
      </w:r>
      <w:r w:rsidRPr="004D4DD7" w:rsidR="005574CB">
        <w:rPr>
          <w:lang w:val="en-US"/>
        </w:rPr>
        <w:t>) read as follows (footnotes omitted</w:t>
      </w:r>
      <w:r w:rsidRPr="004D4DD7" w:rsidR="00525185">
        <w:rPr>
          <w:lang w:val="en-US"/>
        </w:rPr>
        <w:t>, original emphasis</w:t>
      </w:r>
      <w:r w:rsidRPr="004D4DD7" w:rsidR="005574CB">
        <w:rPr>
          <w:lang w:val="en-US"/>
        </w:rPr>
        <w:t>):</w:t>
      </w:r>
    </w:p>
    <w:p w:rsidRPr="004D4DD7" w:rsidR="00FC2668" w:rsidP="004D4DD7" w:rsidRDefault="00525185">
      <w:pPr>
        <w:pStyle w:val="ECHRParaQuote"/>
        <w:rPr>
          <w:lang w:val="en-US"/>
        </w:rPr>
      </w:pPr>
      <w:r w:rsidRPr="004D4DD7">
        <w:rPr>
          <w:lang w:val="en-US"/>
        </w:rPr>
        <w:t>“</w:t>
      </w:r>
      <w:r w:rsidRPr="004D4DD7" w:rsidR="00FC2668">
        <w:rPr>
          <w:lang w:val="en-US"/>
        </w:rPr>
        <w:t>92. As regards possibilities for contact with the outside world, the CPT considers that special efforts should be made to prevent the breakdown of family ties of prisoners serving life sentences. Ukrainian legislation continues to impose severe restrictions on the visiting entitlement of life-sentenced prisoners. This approach runs counter to the generally accepted principle that offenders, whatever the crimes for which they have been sentenced, are sent to prison as a punishment, not to receive punishment.</w:t>
      </w:r>
    </w:p>
    <w:p w:rsidRPr="004D4DD7" w:rsidR="00FC2668" w:rsidP="004D4DD7" w:rsidRDefault="00FC2668">
      <w:pPr>
        <w:pStyle w:val="ECHRParaQuote"/>
        <w:rPr>
          <w:lang w:val="en-US"/>
        </w:rPr>
      </w:pPr>
      <w:r w:rsidRPr="004D4DD7">
        <w:rPr>
          <w:lang w:val="en-US"/>
        </w:rPr>
        <w:t>Lifers</w:t>
      </w:r>
      <w:r w:rsidRPr="004D4DD7" w:rsidR="004D4DD7">
        <w:rPr>
          <w:lang w:val="en-US"/>
        </w:rPr>
        <w:t>’</w:t>
      </w:r>
      <w:r w:rsidRPr="004D4DD7">
        <w:rPr>
          <w:lang w:val="en-US"/>
        </w:rPr>
        <w:t xml:space="preserve"> visits took place in secure booths with a glass partition, which allowed no physical contact between inmates and their visitors. In addition, some lifers at Colony No. 89 indicated that they remained handcuffed during visits. As the CPT has indicated in the past, to be handcuffed when receiving a visit could certainly be considered as degrading for both the prisoner concerned and his visitors. Further, life-sentenced prisoners had no access to a telephone.</w:t>
      </w:r>
    </w:p>
    <w:p w:rsidRPr="004D4DD7" w:rsidR="00FC2668" w:rsidP="004D4DD7" w:rsidRDefault="00FC2668">
      <w:pPr>
        <w:pStyle w:val="ECHRParaQuote"/>
        <w:rPr>
          <w:b/>
          <w:bCs/>
          <w:lang w:val="en-US"/>
        </w:rPr>
      </w:pPr>
      <w:r w:rsidRPr="004D4DD7">
        <w:rPr>
          <w:b/>
          <w:bCs/>
          <w:lang w:val="en-US"/>
        </w:rPr>
        <w:t>The CPT calls upon the Ukrainian authorities to increase substantially the visit entitlement of life-sentenced prisoners. As a general rule, visits should take place in open conditions (e.g. around a table), visits through a partition being the exception. Further, life-sentenced prisoners should only be prohibited from receiving long-term visits on the basis of an individual risk assessment. In addition, staff must receive clear instructions that life-sentenced prisoners should not be kept in handcuffs during visits. Steps should also be taken to ensure that life-sentenced prisoners have access to a telephone.</w:t>
      </w:r>
    </w:p>
    <w:p w:rsidRPr="004D4DD7" w:rsidR="00FC2668" w:rsidP="004D4DD7" w:rsidRDefault="000A7E6B">
      <w:pPr>
        <w:pStyle w:val="ECHRParaQuote"/>
        <w:rPr>
          <w:bCs/>
          <w:lang w:val="en-US"/>
        </w:rPr>
      </w:pPr>
      <w:r w:rsidRPr="004D4DD7">
        <w:rPr>
          <w:bCs/>
          <w:lang w:val="en-US"/>
        </w:rPr>
        <w:t>...</w:t>
      </w:r>
    </w:p>
    <w:p w:rsidRPr="004D4DD7" w:rsidR="00FC2668" w:rsidP="004D4DD7" w:rsidRDefault="00FC2668">
      <w:pPr>
        <w:pStyle w:val="ECHRParaQuote"/>
      </w:pPr>
      <w:r w:rsidRPr="004D4DD7">
        <w:rPr>
          <w:lang w:val="en-US"/>
        </w:rPr>
        <w:t>93. More generally, during the 2009 visit, the delegation was informed of proposals to amend the legislation with a view to improving the situation of life-sentenced prisoners (e.g. increasing their visit entitlement, [</w:t>
      </w:r>
      <w:r w:rsidRPr="004D4DD7" w:rsidR="000A7E6B">
        <w:rPr>
          <w:lang w:val="en-US"/>
        </w:rPr>
        <w:t>...</w:t>
      </w:r>
      <w:r w:rsidRPr="004D4DD7">
        <w:rPr>
          <w:lang w:val="en-US"/>
        </w:rPr>
        <w:t xml:space="preserve">]). However, there was reportedly political resistance to these proposals. </w:t>
      </w:r>
      <w:r w:rsidRPr="004D4DD7">
        <w:rPr>
          <w:b/>
          <w:bCs/>
          <w:lang w:val="en-US"/>
        </w:rPr>
        <w:t>The CPT urges the Ukrainian authorities to pursue these legislative proposals without further delay.</w:t>
      </w:r>
      <w:r w:rsidRPr="004D4DD7">
        <w:rPr>
          <w:bCs/>
          <w:lang w:val="en-US"/>
        </w:rPr>
        <w:t>”</w:t>
      </w:r>
    </w:p>
    <w:p w:rsidRPr="004D4DD7" w:rsidR="00D420F3" w:rsidP="004D4DD7" w:rsidRDefault="0077175D">
      <w:pPr>
        <w:pStyle w:val="ECHRTitle1"/>
      </w:pPr>
      <w:r w:rsidRPr="004D4DD7">
        <w:t>THE LAW</w:t>
      </w:r>
    </w:p>
    <w:p w:rsidRPr="004D4DD7" w:rsidR="00D420F3" w:rsidP="004D4DD7" w:rsidRDefault="0077175D">
      <w:pPr>
        <w:pStyle w:val="ECHRHeading1"/>
      </w:pPr>
      <w:r w:rsidRPr="004D4DD7">
        <w:t xml:space="preserve">I.  ALLEGED VIOLATION OF ARTICLE </w:t>
      </w:r>
      <w:r w:rsidRPr="004D4DD7" w:rsidR="006B60A7">
        <w:t>8</w:t>
      </w:r>
      <w:r w:rsidRPr="004D4DD7">
        <w:t xml:space="preserve"> OF THE CONVENTION</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23</w:t>
      </w:r>
      <w:r w:rsidRPr="004D4DD7">
        <w:fldChar w:fldCharType="end"/>
      </w:r>
      <w:r w:rsidRPr="004D4DD7" w:rsidR="0077175D">
        <w:t>.  The applicant</w:t>
      </w:r>
      <w:r w:rsidRPr="004D4DD7">
        <w:t>s</w:t>
      </w:r>
      <w:r w:rsidRPr="004D4DD7" w:rsidR="0077175D">
        <w:t xml:space="preserve"> complained that </w:t>
      </w:r>
      <w:r w:rsidRPr="004D4DD7" w:rsidR="001A7392">
        <w:t>the</w:t>
      </w:r>
      <w:r w:rsidRPr="004D4DD7" w:rsidR="00A85C85">
        <w:t xml:space="preserve"> absolute ban on </w:t>
      </w:r>
      <w:r w:rsidRPr="004D4DD7" w:rsidR="001A7392">
        <w:t xml:space="preserve">long-term </w:t>
      </w:r>
      <w:r w:rsidRPr="004D4DD7" w:rsidR="00A85C85">
        <w:t xml:space="preserve">family </w:t>
      </w:r>
      <w:r w:rsidRPr="004D4DD7" w:rsidR="001A7392">
        <w:t>visits</w:t>
      </w:r>
      <w:r w:rsidRPr="004D4DD7" w:rsidR="00A85C85">
        <w:t xml:space="preserve">, which had existed for prisoners </w:t>
      </w:r>
      <w:r w:rsidRPr="004D4DD7" w:rsidR="00C66D59">
        <w:t xml:space="preserve">sentenced to life imprisonment </w:t>
      </w:r>
      <w:r w:rsidRPr="004D4DD7" w:rsidR="00A85C85">
        <w:t xml:space="preserve">in Ukraine </w:t>
      </w:r>
      <w:r w:rsidRPr="004D4DD7" w:rsidR="00C66D59">
        <w:t xml:space="preserve">until </w:t>
      </w:r>
      <w:r w:rsidRPr="004D4DD7" w:rsidR="00A85C85">
        <w:t>May 2014,</w:t>
      </w:r>
      <w:r w:rsidRPr="004D4DD7" w:rsidR="001A7392">
        <w:t xml:space="preserve"> had infringed their rights under Article 8</w:t>
      </w:r>
      <w:r w:rsidRPr="004D4DD7" w:rsidR="0077175D">
        <w:t xml:space="preserve"> of the Convention, which reads as follows:</w:t>
      </w:r>
    </w:p>
    <w:p w:rsidRPr="004D4DD7" w:rsidR="00557303" w:rsidP="004D4DD7" w:rsidRDefault="00557303">
      <w:pPr>
        <w:pStyle w:val="ECHRParaQuote"/>
      </w:pPr>
      <w:r w:rsidRPr="004D4DD7">
        <w:t>“1.  Everyone has the right to respect for his private and family life, his home and his correspondence.</w:t>
      </w:r>
    </w:p>
    <w:p w:rsidRPr="004D4DD7" w:rsidR="00557303" w:rsidP="004D4DD7" w:rsidRDefault="00557303">
      <w:pPr>
        <w:pStyle w:val="ECHRParaQuote"/>
      </w:pPr>
      <w:r w:rsidRPr="004D4DD7">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4D4DD7" w:rsidR="00D420F3" w:rsidP="004D4DD7" w:rsidRDefault="0077175D">
      <w:pPr>
        <w:pStyle w:val="ECHRHeading2"/>
      </w:pPr>
      <w:r w:rsidRPr="004D4DD7">
        <w:t>A.  Admissibility</w:t>
      </w:r>
    </w:p>
    <w:p w:rsidRPr="004D4DD7" w:rsidR="009E7FF0" w:rsidP="004D4DD7" w:rsidRDefault="00193CE2">
      <w:pPr>
        <w:pStyle w:val="ECHRPara"/>
      </w:pPr>
      <w:r w:rsidRPr="004D4DD7">
        <w:fldChar w:fldCharType="begin"/>
      </w:r>
      <w:r w:rsidRPr="004D4DD7">
        <w:instrText xml:space="preserve"> SEQ level0 \*arabic </w:instrText>
      </w:r>
      <w:r w:rsidRPr="004D4DD7">
        <w:fldChar w:fldCharType="separate"/>
      </w:r>
      <w:r w:rsidRPr="004D4DD7" w:rsidR="004D4DD7">
        <w:rPr>
          <w:noProof/>
        </w:rPr>
        <w:t>24</w:t>
      </w:r>
      <w:r w:rsidRPr="004D4DD7">
        <w:fldChar w:fldCharType="end"/>
      </w:r>
      <w:r w:rsidRPr="004D4DD7">
        <w:t>.  </w:t>
      </w:r>
      <w:r w:rsidRPr="004D4DD7" w:rsidR="009E7FF0">
        <w:t xml:space="preserve">The Government </w:t>
      </w:r>
      <w:r w:rsidRPr="004D4DD7">
        <w:t xml:space="preserve">did not dispute the applicability of Article 8 of the Convention to the circumstances of the present case. They </w:t>
      </w:r>
      <w:r w:rsidRPr="004D4DD7" w:rsidR="009E7FF0">
        <w:t>submitted</w:t>
      </w:r>
      <w:r w:rsidRPr="004D4DD7">
        <w:t>, however,</w:t>
      </w:r>
      <w:r w:rsidRPr="004D4DD7" w:rsidR="009E7FF0">
        <w:t xml:space="preserve"> that </w:t>
      </w:r>
      <w:r w:rsidRPr="004D4DD7" w:rsidR="002C1276">
        <w:t xml:space="preserve">the applicants could hardly be considered as </w:t>
      </w:r>
      <w:r w:rsidRPr="004D4DD7" w:rsidR="003813D1">
        <w:t>having been</w:t>
      </w:r>
      <w:r w:rsidRPr="004D4DD7" w:rsidR="002C1276">
        <w:t xml:space="preserve"> adversely affected by the absence of the possibility to have long-term family visits, given that they had not even been </w:t>
      </w:r>
      <w:r w:rsidRPr="004D4DD7" w:rsidR="003813D1">
        <w:t xml:space="preserve">using their right to short-term visits. </w:t>
      </w:r>
      <w:r w:rsidRPr="004D4DD7" w:rsidR="002C1276">
        <w:t>The Government observed in that connection that the second applicant had visited the first applicant only on two occasions in 2003 and 2004 and never thereafter.</w:t>
      </w:r>
    </w:p>
    <w:p w:rsidRPr="004D4DD7" w:rsidR="002C1276" w:rsidP="004D4DD7" w:rsidRDefault="002C1276">
      <w:pPr>
        <w:pStyle w:val="ECHRPara"/>
      </w:pPr>
      <w:r w:rsidRPr="004D4DD7">
        <w:fldChar w:fldCharType="begin"/>
      </w:r>
      <w:r w:rsidRPr="004D4DD7">
        <w:instrText xml:space="preserve"> SEQ level0 \*arabic </w:instrText>
      </w:r>
      <w:r w:rsidRPr="004D4DD7">
        <w:fldChar w:fldCharType="separate"/>
      </w:r>
      <w:r w:rsidRPr="004D4DD7" w:rsidR="004D4DD7">
        <w:rPr>
          <w:noProof/>
        </w:rPr>
        <w:t>25</w:t>
      </w:r>
      <w:r w:rsidRPr="004D4DD7">
        <w:fldChar w:fldCharType="end"/>
      </w:r>
      <w:r w:rsidRPr="004D4DD7">
        <w:t>.  The Government contended that by 2007 the genuine family relations between the applicants had ceased to exist and that their marriage had become nothing more than a mere formality.</w:t>
      </w:r>
    </w:p>
    <w:p w:rsidRPr="004D4DD7" w:rsidR="00690B29" w:rsidP="004D4DD7" w:rsidRDefault="00690B29">
      <w:pPr>
        <w:pStyle w:val="ECHRPara"/>
      </w:pPr>
      <w:r w:rsidRPr="004D4DD7">
        <w:fldChar w:fldCharType="begin"/>
      </w:r>
      <w:r w:rsidRPr="004D4DD7">
        <w:instrText xml:space="preserve"> SEQ level0 \*arabic </w:instrText>
      </w:r>
      <w:r w:rsidRPr="004D4DD7">
        <w:fldChar w:fldCharType="separate"/>
      </w:r>
      <w:r w:rsidRPr="004D4DD7" w:rsidR="004D4DD7">
        <w:rPr>
          <w:noProof/>
        </w:rPr>
        <w:t>26</w:t>
      </w:r>
      <w:r w:rsidRPr="004D4DD7">
        <w:fldChar w:fldCharType="end"/>
      </w:r>
      <w:r w:rsidRPr="004D4DD7">
        <w:t xml:space="preserve">.  The Government therefore invited the Court to </w:t>
      </w:r>
      <w:r w:rsidRPr="004D4DD7" w:rsidR="00367198">
        <w:t>dismiss this complaint as being manifestly ill-founded.</w:t>
      </w:r>
    </w:p>
    <w:p w:rsidRPr="004D4DD7" w:rsidR="00C41131" w:rsidP="004D4DD7" w:rsidRDefault="00367198">
      <w:pPr>
        <w:pStyle w:val="ECHRPara"/>
      </w:pPr>
      <w:r w:rsidRPr="004D4DD7">
        <w:fldChar w:fldCharType="begin"/>
      </w:r>
      <w:r w:rsidRPr="004D4DD7">
        <w:instrText xml:space="preserve"> SEQ level0 \*arabic </w:instrText>
      </w:r>
      <w:r w:rsidRPr="004D4DD7">
        <w:fldChar w:fldCharType="separate"/>
      </w:r>
      <w:r w:rsidRPr="004D4DD7" w:rsidR="004D4DD7">
        <w:rPr>
          <w:noProof/>
        </w:rPr>
        <w:t>27</w:t>
      </w:r>
      <w:r w:rsidRPr="004D4DD7">
        <w:fldChar w:fldCharType="end"/>
      </w:r>
      <w:r w:rsidRPr="004D4DD7">
        <w:t xml:space="preserve">.  The applicants </w:t>
      </w:r>
      <w:r w:rsidRPr="004D4DD7" w:rsidR="007D6659">
        <w:t xml:space="preserve">contested those arguments. </w:t>
      </w:r>
      <w:r w:rsidRPr="004D4DD7" w:rsidR="00E9415B">
        <w:t xml:space="preserve">They submitted that </w:t>
      </w:r>
      <w:r w:rsidRPr="004D4DD7" w:rsidR="00B10A3B">
        <w:t xml:space="preserve">the short-term visits were rare, did not allow for any physical contact or privacy, and that the number of adult visitors was limited. Accordingly, having regard to all the restrictions, the applicants maintained, they </w:t>
      </w:r>
      <w:r w:rsidRPr="004D4DD7" w:rsidR="00C41131">
        <w:t xml:space="preserve">could not be reproached for not </w:t>
      </w:r>
      <w:r w:rsidRPr="004D4DD7" w:rsidR="00B10A3B">
        <w:t>manifesting</w:t>
      </w:r>
      <w:r w:rsidRPr="004D4DD7" w:rsidR="00C41131">
        <w:t xml:space="preserve"> </w:t>
      </w:r>
      <w:r w:rsidRPr="004D4DD7" w:rsidR="00B10A3B">
        <w:t>their genuine family relations.</w:t>
      </w:r>
    </w:p>
    <w:p w:rsidRPr="004D4DD7" w:rsidR="00B10A3B" w:rsidP="004D4DD7" w:rsidRDefault="00DD4EBD">
      <w:pPr>
        <w:pStyle w:val="ECHRPara"/>
      </w:pPr>
      <w:r w:rsidRPr="004D4DD7">
        <w:fldChar w:fldCharType="begin"/>
      </w:r>
      <w:r w:rsidRPr="004D4DD7">
        <w:instrText xml:space="preserve"> SEQ level0 \*arabic </w:instrText>
      </w:r>
      <w:r w:rsidRPr="004D4DD7">
        <w:fldChar w:fldCharType="separate"/>
      </w:r>
      <w:r w:rsidRPr="004D4DD7" w:rsidR="004D4DD7">
        <w:rPr>
          <w:noProof/>
        </w:rPr>
        <w:t>28</w:t>
      </w:r>
      <w:r w:rsidRPr="004D4DD7">
        <w:fldChar w:fldCharType="end"/>
      </w:r>
      <w:r w:rsidRPr="004D4DD7">
        <w:t>.  The applicants further submitted that, even though their marriage had eventually broken down, th</w:t>
      </w:r>
      <w:r w:rsidRPr="004D4DD7" w:rsidR="005E2A57">
        <w:t>at</w:t>
      </w:r>
      <w:r w:rsidRPr="004D4DD7">
        <w:t xml:space="preserve"> circumstance should not be interpreted as undermining the well-foundedness of their complaint, but rather </w:t>
      </w:r>
      <w:r w:rsidRPr="004D4DD7" w:rsidR="006A585A">
        <w:t xml:space="preserve">as </w:t>
      </w:r>
      <w:r w:rsidRPr="004D4DD7" w:rsidR="006630D9">
        <w:t xml:space="preserve">an </w:t>
      </w:r>
      <w:r w:rsidRPr="004D4DD7" w:rsidR="006A585A">
        <w:t xml:space="preserve">indication of the seriousness of the negative consequences of the absolute ban on </w:t>
      </w:r>
      <w:r w:rsidRPr="004D4DD7" w:rsidR="008F5DF0">
        <w:t xml:space="preserve">long-term </w:t>
      </w:r>
      <w:r w:rsidRPr="004D4DD7" w:rsidR="006A585A">
        <w:t>family visits on their lives.</w:t>
      </w:r>
    </w:p>
    <w:p w:rsidRPr="004D4DD7" w:rsidR="00193CE2" w:rsidP="004D4DD7" w:rsidRDefault="00193CE2">
      <w:pPr>
        <w:pStyle w:val="ECHRPara"/>
        <w:rPr>
          <w:i/>
        </w:rPr>
      </w:pPr>
      <w:r w:rsidRPr="004D4DD7">
        <w:fldChar w:fldCharType="begin"/>
      </w:r>
      <w:r w:rsidRPr="004D4DD7">
        <w:instrText xml:space="preserve"> SEQ level0 \*arabic </w:instrText>
      </w:r>
      <w:r w:rsidRPr="004D4DD7">
        <w:fldChar w:fldCharType="separate"/>
      </w:r>
      <w:r w:rsidRPr="004D4DD7" w:rsidR="004D4DD7">
        <w:rPr>
          <w:noProof/>
        </w:rPr>
        <w:t>29</w:t>
      </w:r>
      <w:r w:rsidRPr="004D4DD7">
        <w:fldChar w:fldCharType="end"/>
      </w:r>
      <w:r w:rsidRPr="004D4DD7">
        <w:t>.  </w:t>
      </w:r>
      <w:r w:rsidRPr="004D4DD7" w:rsidR="00DE6211">
        <w:t>First of all, t</w:t>
      </w:r>
      <w:r w:rsidRPr="004D4DD7">
        <w:t>he Court has to examine whether Article 8 of the Convention is applicable to the present case</w:t>
      </w:r>
      <w:r w:rsidRPr="004D4DD7" w:rsidR="00DE6211">
        <w:t xml:space="preserve"> (see </w:t>
      </w:r>
      <w:r w:rsidRPr="004D4DD7" w:rsidR="00DE6211">
        <w:rPr>
          <w:i/>
          <w:iCs/>
        </w:rPr>
        <w:t>Denisov v. Ukraine</w:t>
      </w:r>
      <w:r w:rsidRPr="004D4DD7" w:rsidR="00DE6211">
        <w:rPr>
          <w:iCs/>
        </w:rPr>
        <w:t xml:space="preserve"> [GC]</w:t>
      </w:r>
      <w:r w:rsidRPr="004D4DD7" w:rsidR="00DE6211">
        <w:t>,</w:t>
      </w:r>
      <w:r w:rsidRPr="004D4DD7" w:rsidR="00DE6211">
        <w:rPr>
          <w:lang w:eastAsia="en-GB"/>
        </w:rPr>
        <w:t xml:space="preserve"> no. </w:t>
      </w:r>
      <w:r w:rsidRPr="004D4DD7" w:rsidR="00DE6211">
        <w:t>76639/11, §§ 93-94, 25 September 2018).</w:t>
      </w:r>
    </w:p>
    <w:p w:rsidRPr="004D4DD7" w:rsidR="00193CE2" w:rsidP="004D4DD7" w:rsidRDefault="00DE6211">
      <w:pPr>
        <w:pStyle w:val="ECHRPara"/>
      </w:pPr>
      <w:r w:rsidRPr="004D4DD7">
        <w:fldChar w:fldCharType="begin"/>
      </w:r>
      <w:r w:rsidRPr="004D4DD7">
        <w:instrText xml:space="preserve"> SEQ level0 \*arabic </w:instrText>
      </w:r>
      <w:r w:rsidRPr="004D4DD7">
        <w:fldChar w:fldCharType="separate"/>
      </w:r>
      <w:r w:rsidRPr="004D4DD7" w:rsidR="004D4DD7">
        <w:rPr>
          <w:noProof/>
        </w:rPr>
        <w:t>30</w:t>
      </w:r>
      <w:r w:rsidRPr="004D4DD7">
        <w:fldChar w:fldCharType="end"/>
      </w:r>
      <w:r w:rsidRPr="004D4DD7">
        <w:t>.  It</w:t>
      </w:r>
      <w:r w:rsidRPr="004D4DD7" w:rsidR="00193CE2">
        <w:t xml:space="preserve"> is clear from the parties</w:t>
      </w:r>
      <w:r w:rsidRPr="004D4DD7" w:rsidR="004D4DD7">
        <w:t>’</w:t>
      </w:r>
      <w:r w:rsidRPr="004D4DD7" w:rsidR="00193CE2">
        <w:t xml:space="preserve"> submissions that the applicants got divorced at a certain point after the introduction of the application before the Court (see paragraph </w:t>
      </w:r>
      <w:r w:rsidRPr="004D4DD7" w:rsidR="00193CE2">
        <w:fldChar w:fldCharType="begin"/>
      </w:r>
      <w:r w:rsidRPr="004D4DD7" w:rsidR="00193CE2">
        <w:instrText xml:space="preserve"> REF Divorce \h </w:instrText>
      </w:r>
      <w:r w:rsidRPr="004D4DD7" w:rsidR="00193CE2">
        <w:fldChar w:fldCharType="separate"/>
      </w:r>
      <w:r w:rsidRPr="004D4DD7" w:rsidR="004D4DD7">
        <w:rPr>
          <w:noProof/>
        </w:rPr>
        <w:t>11</w:t>
      </w:r>
      <w:r w:rsidRPr="004D4DD7" w:rsidR="00193CE2">
        <w:fldChar w:fldCharType="end"/>
      </w:r>
      <w:r w:rsidRPr="004D4DD7" w:rsidR="00193CE2">
        <w:t xml:space="preserve"> above). The Court accepts that they cannot be said to have had any family life after their divorce (see and compare with</w:t>
      </w:r>
      <w:r w:rsidRPr="004D4DD7">
        <w:t xml:space="preserve"> </w:t>
      </w:r>
      <w:r w:rsidRPr="004D4DD7">
        <w:rPr>
          <w:i/>
        </w:rPr>
        <w:t xml:space="preserve">Khoroshenko v. Russia </w:t>
      </w:r>
      <w:r w:rsidRPr="004D4DD7">
        <w:t>[GC]</w:t>
      </w:r>
      <w:r w:rsidRPr="004D4DD7">
        <w:rPr>
          <w:snapToGrid w:val="0"/>
        </w:rPr>
        <w:t>, no.</w:t>
      </w:r>
      <w:r w:rsidRPr="004D4DD7">
        <w:t xml:space="preserve"> 41418/04, § 89, ECHR 2015). </w:t>
      </w:r>
      <w:r w:rsidRPr="004D4DD7" w:rsidR="00193CE2">
        <w:t xml:space="preserve">The date of the divorce is, however, unknown to the Court. While the Government submitted that it had been “shortly after the introduction of their application”, the applicants made a general statement that their marriage had been dissolved in 2014, without providing any details or documents. The Court takes note that, starting from September 2012 onwards another woman visited the first applicant in prison on a regular basis as his fiancée and that they eventually got married in December 2014 (see paragraph </w:t>
      </w:r>
      <w:r w:rsidRPr="004D4DD7" w:rsidR="00193CE2">
        <w:fldChar w:fldCharType="begin"/>
      </w:r>
      <w:r w:rsidRPr="004D4DD7" w:rsidR="00193CE2">
        <w:instrText xml:space="preserve"> REF Meetings_other_woman \h </w:instrText>
      </w:r>
      <w:r w:rsidRPr="004D4DD7" w:rsidR="00193CE2">
        <w:fldChar w:fldCharType="separate"/>
      </w:r>
      <w:r w:rsidRPr="004D4DD7" w:rsidR="004D4DD7">
        <w:rPr>
          <w:noProof/>
        </w:rPr>
        <w:t>12</w:t>
      </w:r>
      <w:r w:rsidRPr="004D4DD7" w:rsidR="00193CE2">
        <w:fldChar w:fldCharType="end"/>
      </w:r>
      <w:r w:rsidRPr="004D4DD7" w:rsidR="00193CE2">
        <w:t xml:space="preserve"> above). The Court therefore presumes that by September 2012, regardless of the applicants</w:t>
      </w:r>
      <w:r w:rsidRPr="004D4DD7" w:rsidR="004D4DD7">
        <w:t>’</w:t>
      </w:r>
      <w:r w:rsidRPr="004D4DD7" w:rsidR="00193CE2">
        <w:t xml:space="preserve"> formal marital status, they </w:t>
      </w:r>
      <w:r w:rsidRPr="004D4DD7" w:rsidR="007F0DD6">
        <w:t>no longer shared the</w:t>
      </w:r>
      <w:r w:rsidRPr="004D4DD7" w:rsidR="00193CE2">
        <w:t xml:space="preserve"> close personal ties inherent in the notion of “family life” in the meaning of Article 8 of the Convention (see </w:t>
      </w:r>
      <w:r w:rsidRPr="004D4DD7" w:rsidR="00193CE2">
        <w:rPr>
          <w:i/>
        </w:rPr>
        <w:t>Paradiso and Campanelli v. Italy</w:t>
      </w:r>
      <w:r w:rsidRPr="004D4DD7" w:rsidR="00193CE2">
        <w:t xml:space="preserve"> [GC], no. 25358/12, § 140, 24 January 2017, with further references).</w:t>
      </w:r>
    </w:p>
    <w:p w:rsidRPr="004D4DD7" w:rsidR="00193CE2" w:rsidP="004D4DD7" w:rsidRDefault="00193CE2">
      <w:pPr>
        <w:pStyle w:val="ECHRPara"/>
      </w:pPr>
      <w:r w:rsidRPr="004D4DD7">
        <w:fldChar w:fldCharType="begin"/>
      </w:r>
      <w:r w:rsidRPr="004D4DD7">
        <w:instrText xml:space="preserve"> SEQ level0 \*arabic </w:instrText>
      </w:r>
      <w:r w:rsidRPr="004D4DD7">
        <w:fldChar w:fldCharType="separate"/>
      </w:r>
      <w:r w:rsidRPr="004D4DD7" w:rsidR="004D4DD7">
        <w:rPr>
          <w:noProof/>
        </w:rPr>
        <w:t>31</w:t>
      </w:r>
      <w:r w:rsidRPr="004D4DD7">
        <w:fldChar w:fldCharType="end"/>
      </w:r>
      <w:r w:rsidRPr="004D4DD7">
        <w:t>.  As to whether such close personal ties had existed between the applicants before that, the Court observes the applicants</w:t>
      </w:r>
      <w:r w:rsidRPr="004D4DD7" w:rsidR="004D4DD7">
        <w:t>’</w:t>
      </w:r>
      <w:r w:rsidRPr="004D4DD7">
        <w:t xml:space="preserve"> continuous efforts, </w:t>
      </w:r>
      <w:r w:rsidRPr="004D4DD7" w:rsidR="004F6777">
        <w:t>until</w:t>
      </w:r>
      <w:r w:rsidRPr="004D4DD7">
        <w:t xml:space="preserve"> December 2009, to receive the possibility of long-term visits allowing for physical contact and intimacy with a view to conceiving a child (see paragraphs </w:t>
      </w:r>
      <w:r w:rsidRPr="004D4DD7">
        <w:fldChar w:fldCharType="begin"/>
      </w:r>
      <w:r w:rsidRPr="004D4DD7">
        <w:instrText xml:space="preserve"> REF Administrative_claims_by_applicants \h </w:instrText>
      </w:r>
      <w:r w:rsidRPr="004D4DD7">
        <w:fldChar w:fldCharType="separate"/>
      </w:r>
      <w:r w:rsidRPr="004D4DD7" w:rsidR="004D4DD7">
        <w:rPr>
          <w:noProof/>
        </w:rPr>
        <w:t>9</w:t>
      </w:r>
      <w:r w:rsidRPr="004D4DD7">
        <w:fldChar w:fldCharType="end"/>
      </w:r>
      <w:r w:rsidRPr="004D4DD7">
        <w:t xml:space="preserve"> above). Against that background, their decision not to see each other at all instead of having short meetings without any physical contact, through a glass partition and in the presence of a prison officer (see paragraph </w:t>
      </w:r>
      <w:r w:rsidRPr="004D4DD7">
        <w:fldChar w:fldCharType="begin"/>
      </w:r>
      <w:r w:rsidRPr="004D4DD7">
        <w:instrText xml:space="preserve"> REF Applicants_no_privacy_argument \h </w:instrText>
      </w:r>
      <w:r w:rsidRPr="004D4DD7">
        <w:fldChar w:fldCharType="separate"/>
      </w:r>
      <w:r w:rsidRPr="004D4DD7" w:rsidR="004D4DD7">
        <w:rPr>
          <w:noProof/>
        </w:rPr>
        <w:t>35</w:t>
      </w:r>
      <w:r w:rsidRPr="004D4DD7">
        <w:fldChar w:fldCharType="end"/>
      </w:r>
      <w:r w:rsidRPr="004D4DD7">
        <w:t xml:space="preserve"> </w:t>
      </w:r>
      <w:r w:rsidRPr="004D4DD7" w:rsidR="007B37E7">
        <w:t>below</w:t>
      </w:r>
      <w:r w:rsidRPr="004D4DD7" w:rsidR="00EE3DA7">
        <w:t xml:space="preserve">, as well as </w:t>
      </w:r>
      <w:r w:rsidRPr="004D4DD7">
        <w:rPr>
          <w:i/>
        </w:rPr>
        <w:t>Trosin</w:t>
      </w:r>
      <w:r w:rsidRPr="004D4DD7" w:rsidR="00DE6211">
        <w:rPr>
          <w:i/>
        </w:rPr>
        <w:t xml:space="preserve"> v. Ukraine</w:t>
      </w:r>
      <w:r w:rsidRPr="004D4DD7" w:rsidR="00DE6211">
        <w:t xml:space="preserve">, </w:t>
      </w:r>
      <w:r w:rsidRPr="004D4DD7" w:rsidR="00C81E19">
        <w:t>no. 39758/05, § </w:t>
      </w:r>
      <w:r w:rsidRPr="004D4DD7" w:rsidR="00DE6211">
        <w:t>46, 23 February 2012</w:t>
      </w:r>
      <w:r w:rsidRPr="004D4DD7">
        <w:t xml:space="preserve">) </w:t>
      </w:r>
      <w:r w:rsidRPr="004D4DD7" w:rsidR="005B5005">
        <w:t>cannot</w:t>
      </w:r>
      <w:r w:rsidRPr="004D4DD7">
        <w:t xml:space="preserve"> be interpreted as negating the existence of their family life, contrary to the Government</w:t>
      </w:r>
      <w:r w:rsidRPr="004D4DD7" w:rsidR="004D4DD7">
        <w:t>’</w:t>
      </w:r>
      <w:r w:rsidRPr="004D4DD7">
        <w:t>s arguments.</w:t>
      </w:r>
    </w:p>
    <w:p w:rsidRPr="004D4DD7" w:rsidR="00193CE2" w:rsidP="004D4DD7" w:rsidRDefault="00193CE2">
      <w:pPr>
        <w:pStyle w:val="ECHRPara"/>
      </w:pPr>
      <w:r w:rsidRPr="004D4DD7">
        <w:fldChar w:fldCharType="begin"/>
      </w:r>
      <w:r w:rsidRPr="004D4DD7">
        <w:instrText xml:space="preserve"> SEQ level0 \*arabic </w:instrText>
      </w:r>
      <w:r w:rsidRPr="004D4DD7">
        <w:fldChar w:fldCharType="separate"/>
      </w:r>
      <w:r w:rsidRPr="004D4DD7" w:rsidR="004D4DD7">
        <w:rPr>
          <w:noProof/>
        </w:rPr>
        <w:t>32</w:t>
      </w:r>
      <w:r w:rsidRPr="004D4DD7">
        <w:fldChar w:fldCharType="end"/>
      </w:r>
      <w:r w:rsidRPr="004D4DD7">
        <w:t>.  Even if, as suggested by the Government, the applicants dissolved their marriage immediately after the introduction of the application, in May 2010, the Court notes that they had not been able to have long-term conjugal visits for over nine years by then.</w:t>
      </w:r>
    </w:p>
    <w:p w:rsidRPr="004D4DD7" w:rsidR="00193CE2" w:rsidP="004D4DD7" w:rsidRDefault="00193CE2">
      <w:pPr>
        <w:pStyle w:val="ECHRPara"/>
      </w:pPr>
      <w:r w:rsidRPr="004D4DD7">
        <w:fldChar w:fldCharType="begin"/>
      </w:r>
      <w:r w:rsidRPr="004D4DD7">
        <w:instrText xml:space="preserve"> SEQ level0 \*arabic </w:instrText>
      </w:r>
      <w:r w:rsidRPr="004D4DD7">
        <w:fldChar w:fldCharType="separate"/>
      </w:r>
      <w:r w:rsidRPr="004D4DD7" w:rsidR="004D4DD7">
        <w:rPr>
          <w:noProof/>
        </w:rPr>
        <w:t>33</w:t>
      </w:r>
      <w:r w:rsidRPr="004D4DD7">
        <w:fldChar w:fldCharType="end"/>
      </w:r>
      <w:r w:rsidRPr="004D4DD7">
        <w:t>.  Regard being had to its case-law and the above-mentioned circumstances of the case, the Court finds that the measures in question constituted an interference with the applicants</w:t>
      </w:r>
      <w:r w:rsidRPr="004D4DD7" w:rsidR="004D4DD7">
        <w:t>’</w:t>
      </w:r>
      <w:r w:rsidRPr="004D4DD7">
        <w:t xml:space="preserve"> “private life” and “family life” within the meaning of Article 8 of the Convention.</w:t>
      </w:r>
    </w:p>
    <w:p w:rsidRPr="004D4DD7" w:rsidR="00DF420A" w:rsidP="004D4DD7" w:rsidRDefault="00DF420A">
      <w:pPr>
        <w:pStyle w:val="ECHRPara"/>
      </w:pPr>
      <w:r w:rsidRPr="004D4DD7">
        <w:fldChar w:fldCharType="begin"/>
      </w:r>
      <w:r w:rsidRPr="004D4DD7">
        <w:instrText xml:space="preserve"> SEQ level0 \*arabic </w:instrText>
      </w:r>
      <w:r w:rsidRPr="004D4DD7">
        <w:fldChar w:fldCharType="separate"/>
      </w:r>
      <w:r w:rsidRPr="004D4DD7" w:rsidR="004D4DD7">
        <w:rPr>
          <w:noProof/>
        </w:rPr>
        <w:t>34</w:t>
      </w:r>
      <w:r w:rsidRPr="004D4DD7">
        <w:fldChar w:fldCharType="end"/>
      </w:r>
      <w:r w:rsidRPr="004D4DD7">
        <w:t>.  </w:t>
      </w:r>
      <w:r w:rsidRPr="004D4DD7" w:rsidR="00DE6211">
        <w:t>Furthermore, c</w:t>
      </w:r>
      <w:r w:rsidRPr="004D4DD7" w:rsidR="00E0423C">
        <w:t>ontrary to the Government</w:t>
      </w:r>
      <w:r w:rsidRPr="004D4DD7" w:rsidR="004D4DD7">
        <w:t>’</w:t>
      </w:r>
      <w:r w:rsidRPr="004D4DD7" w:rsidR="00E0423C">
        <w:t xml:space="preserve">s submissions, </w:t>
      </w:r>
      <w:r w:rsidRPr="004D4DD7" w:rsidR="00DE6211">
        <w:t>the above complaint is not</w:t>
      </w:r>
      <w:r w:rsidRPr="004D4DD7" w:rsidR="00CA6D70">
        <w:t xml:space="preserve"> </w:t>
      </w:r>
      <w:r w:rsidRPr="004D4DD7">
        <w:t>manifestly ill</w:t>
      </w:r>
      <w:r w:rsidRPr="004D4DD7">
        <w:noBreakHyphen/>
        <w:t>founded w</w:t>
      </w:r>
      <w:r w:rsidRPr="004D4DD7" w:rsidR="00EE3DA7">
        <w:t xml:space="preserve">ithin the meaning of Article 35 </w:t>
      </w:r>
      <w:r w:rsidRPr="004D4DD7">
        <w:t>§</w:t>
      </w:r>
      <w:r w:rsidRPr="004D4DD7" w:rsidR="005B5005">
        <w:t> </w:t>
      </w:r>
      <w:r w:rsidRPr="004D4DD7">
        <w:t>3</w:t>
      </w:r>
      <w:r w:rsidRPr="004D4DD7" w:rsidR="005B5005">
        <w:t> </w:t>
      </w:r>
      <w:r w:rsidRPr="004D4DD7">
        <w:t>(a) of the Convention</w:t>
      </w:r>
      <w:r w:rsidRPr="004D4DD7" w:rsidR="00340BDD">
        <w:t>. Nor</w:t>
      </w:r>
      <w:r w:rsidRPr="004D4DD7" w:rsidR="00FE5446">
        <w:t xml:space="preserve"> does the Court find reasons for declaring this part of the application </w:t>
      </w:r>
      <w:r w:rsidRPr="004D4DD7">
        <w:t>inadmissible on any other grounds. It must therefore be declared admissible.</w:t>
      </w:r>
    </w:p>
    <w:p w:rsidRPr="004D4DD7" w:rsidR="00D420F3" w:rsidP="004D4DD7" w:rsidRDefault="0077175D">
      <w:pPr>
        <w:pStyle w:val="ECHRHeading2"/>
      </w:pPr>
      <w:r w:rsidRPr="004D4DD7">
        <w:t>B.  Merits</w:t>
      </w:r>
    </w:p>
    <w:p w:rsidRPr="004D4DD7" w:rsidR="00EE180D" w:rsidP="004D4DD7" w:rsidRDefault="00EE180D">
      <w:pPr>
        <w:pStyle w:val="ECHRHeading3"/>
      </w:pPr>
      <w:r w:rsidRPr="004D4DD7">
        <w:t>1</w:t>
      </w:r>
      <w:r w:rsidRPr="004D4DD7" w:rsidR="0044229F">
        <w:t>.  </w:t>
      </w:r>
      <w:r w:rsidRPr="004D4DD7">
        <w:t>The parties</w:t>
      </w:r>
      <w:r w:rsidRPr="004D4DD7" w:rsidR="004D4DD7">
        <w:t>’</w:t>
      </w:r>
      <w:r w:rsidRPr="004D4DD7">
        <w:t xml:space="preserve"> submissions</w:t>
      </w:r>
    </w:p>
    <w:p w:rsidRPr="004D4DD7" w:rsidR="007B08C3" w:rsidP="004D4DD7" w:rsidRDefault="007B08C3">
      <w:pPr>
        <w:pStyle w:val="ECHRHeading4"/>
      </w:pPr>
      <w:r w:rsidRPr="004D4DD7">
        <w:t>(a)  The applicants</w:t>
      </w:r>
    </w:p>
    <w:bookmarkStart w:name="Applicants_no_privacy_argument" w:id="13"/>
    <w:p w:rsidRPr="004D4DD7" w:rsidR="00170344" w:rsidP="004D4DD7" w:rsidRDefault="00FE5446">
      <w:pPr>
        <w:pStyle w:val="ECHRPara"/>
      </w:pPr>
      <w:r w:rsidRPr="004D4DD7">
        <w:fldChar w:fldCharType="begin"/>
      </w:r>
      <w:r w:rsidRPr="004D4DD7">
        <w:instrText xml:space="preserve"> SEQ level0 \*arabic </w:instrText>
      </w:r>
      <w:r w:rsidRPr="004D4DD7">
        <w:fldChar w:fldCharType="separate"/>
      </w:r>
      <w:r w:rsidRPr="004D4DD7" w:rsidR="004D4DD7">
        <w:rPr>
          <w:noProof/>
        </w:rPr>
        <w:t>35</w:t>
      </w:r>
      <w:r w:rsidRPr="004D4DD7">
        <w:fldChar w:fldCharType="end"/>
      </w:r>
      <w:bookmarkEnd w:id="13"/>
      <w:r w:rsidRPr="004D4DD7">
        <w:t>.  </w:t>
      </w:r>
      <w:r w:rsidRPr="004D4DD7" w:rsidR="0077175D">
        <w:t>The applicant</w:t>
      </w:r>
      <w:r w:rsidRPr="004D4DD7" w:rsidR="00D14839">
        <w:t>s</w:t>
      </w:r>
      <w:r w:rsidRPr="004D4DD7" w:rsidR="00766A1A">
        <w:t xml:space="preserve"> </w:t>
      </w:r>
      <w:r w:rsidRPr="004D4DD7" w:rsidR="00A85C85">
        <w:t xml:space="preserve">submitted that for </w:t>
      </w:r>
      <w:r w:rsidRPr="004D4DD7" w:rsidR="00AA4614">
        <w:t xml:space="preserve">over thirteen years </w:t>
      </w:r>
      <w:r w:rsidRPr="004D4DD7" w:rsidR="003833C2">
        <w:t>after</w:t>
      </w:r>
      <w:r w:rsidRPr="004D4DD7" w:rsidR="00AA4614">
        <w:t xml:space="preserve"> the first applicant</w:t>
      </w:r>
      <w:r w:rsidRPr="004D4DD7" w:rsidR="004D4DD7">
        <w:t>’</w:t>
      </w:r>
      <w:r w:rsidRPr="004D4DD7" w:rsidR="00AA4614">
        <w:t>s conviction the</w:t>
      </w:r>
      <w:r w:rsidRPr="004D4DD7" w:rsidR="003833C2">
        <w:t xml:space="preserve">y could only see each other during rare </w:t>
      </w:r>
      <w:r w:rsidRPr="004D4DD7" w:rsidR="00AA4614">
        <w:t>short-term meetings</w:t>
      </w:r>
      <w:r w:rsidRPr="004D4DD7" w:rsidR="003833C2">
        <w:t>,</w:t>
      </w:r>
      <w:r w:rsidRPr="004D4DD7" w:rsidR="00AA4614">
        <w:t xml:space="preserve"> </w:t>
      </w:r>
      <w:r w:rsidRPr="004D4DD7" w:rsidR="003833C2">
        <w:t>without any physical contact or slightest privacy</w:t>
      </w:r>
      <w:r w:rsidRPr="004D4DD7" w:rsidR="00AA4614">
        <w:t xml:space="preserve">, through a glass partition and in the presence of a prison officer. While prisoners serving a fixed-term sentence were entitled to long-term (up to three days) family visits allowing for physical contact and intimacy, life prisoners were deprived of such </w:t>
      </w:r>
      <w:r w:rsidRPr="004D4DD7" w:rsidR="006F48A9">
        <w:t xml:space="preserve">a </w:t>
      </w:r>
      <w:r w:rsidRPr="004D4DD7" w:rsidR="00AA4614">
        <w:t xml:space="preserve">possibility </w:t>
      </w:r>
      <w:r w:rsidRPr="004D4DD7" w:rsidR="006F48A9">
        <w:t>until</w:t>
      </w:r>
      <w:r w:rsidRPr="004D4DD7" w:rsidR="00AA4614">
        <w:t xml:space="preserve"> May 2014. The applicants maintained that such a severe restriction on life prisoners</w:t>
      </w:r>
      <w:r w:rsidRPr="004D4DD7" w:rsidR="004D4DD7">
        <w:t>’</w:t>
      </w:r>
      <w:r w:rsidRPr="004D4DD7" w:rsidR="00AA4614">
        <w:t xml:space="preserve"> </w:t>
      </w:r>
      <w:r w:rsidRPr="004D4DD7" w:rsidR="006F48A9">
        <w:t xml:space="preserve">family </w:t>
      </w:r>
      <w:r w:rsidRPr="004D4DD7" w:rsidR="00AA4614">
        <w:t>visit</w:t>
      </w:r>
      <w:r w:rsidRPr="004D4DD7" w:rsidR="006F48A9">
        <w:t>s</w:t>
      </w:r>
      <w:r w:rsidRPr="004D4DD7" w:rsidR="00AA4614">
        <w:t xml:space="preserve"> </w:t>
      </w:r>
      <w:r w:rsidRPr="004D4DD7" w:rsidR="00766A1A">
        <w:t xml:space="preserve">had </w:t>
      </w:r>
      <w:r w:rsidRPr="004D4DD7" w:rsidR="004476AF">
        <w:t xml:space="preserve">destroyed their family life. </w:t>
      </w:r>
      <w:r w:rsidRPr="004D4DD7" w:rsidR="003833C2">
        <w:t xml:space="preserve">They observed, in particular, that they </w:t>
      </w:r>
      <w:r w:rsidRPr="004D4DD7" w:rsidR="00170344">
        <w:t xml:space="preserve">had </w:t>
      </w:r>
      <w:r w:rsidRPr="004D4DD7" w:rsidR="00A95374">
        <w:t xml:space="preserve">lost any hope of having a common child and </w:t>
      </w:r>
      <w:r w:rsidRPr="004D4DD7" w:rsidR="00B65288">
        <w:t xml:space="preserve">that </w:t>
      </w:r>
      <w:r w:rsidRPr="004D4DD7" w:rsidR="00A95374">
        <w:t>their marriage had not survived.</w:t>
      </w:r>
    </w:p>
    <w:p w:rsidRPr="004D4DD7" w:rsidR="0044229F" w:rsidP="004D4DD7" w:rsidRDefault="00A95374">
      <w:pPr>
        <w:pStyle w:val="ECHRPara"/>
      </w:pPr>
      <w:r w:rsidRPr="004D4DD7">
        <w:fldChar w:fldCharType="begin"/>
      </w:r>
      <w:r w:rsidRPr="004D4DD7">
        <w:instrText xml:space="preserve"> SEQ level0 \*arabic </w:instrText>
      </w:r>
      <w:r w:rsidRPr="004D4DD7">
        <w:fldChar w:fldCharType="separate"/>
      </w:r>
      <w:r w:rsidRPr="004D4DD7" w:rsidR="004D4DD7">
        <w:rPr>
          <w:noProof/>
        </w:rPr>
        <w:t>36</w:t>
      </w:r>
      <w:r w:rsidRPr="004D4DD7">
        <w:fldChar w:fldCharType="end"/>
      </w:r>
      <w:r w:rsidRPr="004D4DD7">
        <w:t>.  </w:t>
      </w:r>
      <w:r w:rsidRPr="004D4DD7" w:rsidR="00A36A26">
        <w:t>The applicants submitted that</w:t>
      </w:r>
      <w:r w:rsidRPr="004D4DD7">
        <w:t xml:space="preserve"> the impugned restriction was devoid of any legitimate aim. While officially it was justified on security grounds, in practice there had been no official studies or statistics showing how such an excessively restrictive arrangement could enhance security and safety in </w:t>
      </w:r>
      <w:r w:rsidRPr="004D4DD7" w:rsidR="006F48A9">
        <w:t>prisons</w:t>
      </w:r>
      <w:r w:rsidRPr="004D4DD7">
        <w:t xml:space="preserve">. </w:t>
      </w:r>
      <w:r w:rsidRPr="004D4DD7" w:rsidR="001C569D">
        <w:t>In the applicants</w:t>
      </w:r>
      <w:r w:rsidRPr="004D4DD7" w:rsidR="004D4DD7">
        <w:t>’</w:t>
      </w:r>
      <w:r w:rsidRPr="004D4DD7" w:rsidR="001C569D">
        <w:t xml:space="preserve"> opinion, the factual developments</w:t>
      </w:r>
      <w:r w:rsidRPr="004D4DD7" w:rsidR="00891FE0">
        <w:t xml:space="preserve">, namely the legislative amendments </w:t>
      </w:r>
      <w:r w:rsidRPr="004D4DD7" w:rsidR="00B530AA">
        <w:t xml:space="preserve">enacted in May </w:t>
      </w:r>
      <w:r w:rsidRPr="004D4DD7" w:rsidR="00891FE0">
        <w:t>2014 and later on,</w:t>
      </w:r>
      <w:r w:rsidRPr="004D4DD7" w:rsidR="001C569D">
        <w:t xml:space="preserve"> proved the contrary.</w:t>
      </w:r>
    </w:p>
    <w:p w:rsidRPr="004D4DD7" w:rsidR="001F484A" w:rsidP="004D4DD7" w:rsidRDefault="00891FE0">
      <w:pPr>
        <w:pStyle w:val="ECHRPara"/>
      </w:pPr>
      <w:r w:rsidRPr="004D4DD7">
        <w:fldChar w:fldCharType="begin"/>
      </w:r>
      <w:r w:rsidRPr="004D4DD7">
        <w:instrText xml:space="preserve"> SEQ level0 \*arabic </w:instrText>
      </w:r>
      <w:r w:rsidRPr="004D4DD7">
        <w:fldChar w:fldCharType="separate"/>
      </w:r>
      <w:r w:rsidRPr="004D4DD7" w:rsidR="004D4DD7">
        <w:rPr>
          <w:noProof/>
        </w:rPr>
        <w:t>37</w:t>
      </w:r>
      <w:r w:rsidRPr="004D4DD7">
        <w:fldChar w:fldCharType="end"/>
      </w:r>
      <w:r w:rsidRPr="004D4DD7">
        <w:t xml:space="preserve">.  The applicants </w:t>
      </w:r>
      <w:r w:rsidRPr="004D4DD7" w:rsidR="00EA02C2">
        <w:t>further noted</w:t>
      </w:r>
      <w:r w:rsidRPr="004D4DD7">
        <w:t xml:space="preserve"> that </w:t>
      </w:r>
      <w:r w:rsidRPr="004D4DD7" w:rsidR="00EA02C2">
        <w:t xml:space="preserve">the fact that </w:t>
      </w:r>
      <w:r w:rsidRPr="004D4DD7">
        <w:t xml:space="preserve">the ban in question </w:t>
      </w:r>
      <w:r w:rsidRPr="004D4DD7" w:rsidR="00EA02C2">
        <w:t>was inflexible and set out directly in the legislation had made it impossible to use an individualised approach suited to the unique circumstances of each prisoner</w:t>
      </w:r>
      <w:r w:rsidRPr="004D4DD7" w:rsidR="004D4DD7">
        <w:t>’</w:t>
      </w:r>
      <w:r w:rsidRPr="004D4DD7" w:rsidR="00EA02C2">
        <w:t>s case.</w:t>
      </w:r>
      <w:r w:rsidRPr="004D4DD7" w:rsidR="001F484A">
        <w:t xml:space="preserve"> T</w:t>
      </w:r>
      <w:r w:rsidRPr="004D4DD7" w:rsidR="00EA02C2">
        <w:t>hey observed</w:t>
      </w:r>
      <w:r w:rsidRPr="004D4DD7" w:rsidR="001F484A">
        <w:t xml:space="preserve"> in that connection that</w:t>
      </w:r>
      <w:r w:rsidRPr="004D4DD7" w:rsidR="00EA02C2">
        <w:t xml:space="preserve"> the first applicant</w:t>
      </w:r>
      <w:r w:rsidRPr="004D4DD7" w:rsidR="001F484A">
        <w:t xml:space="preserve"> had never manifested any violence or other security-related risks in prison. Thus, for almost fourteen years of imprisonment he had been reprimanded on three occasions on account of minor irregularities. However, long-term family visits </w:t>
      </w:r>
      <w:r w:rsidRPr="004D4DD7" w:rsidR="00021D8E">
        <w:t>were</w:t>
      </w:r>
      <w:r w:rsidRPr="004D4DD7" w:rsidR="001F484A">
        <w:t xml:space="preserve"> denied to him in the same vein as to the most dangerous and ruthless of the prison population.</w:t>
      </w:r>
    </w:p>
    <w:p w:rsidRPr="004D4DD7" w:rsidR="007B08C3" w:rsidP="004D4DD7" w:rsidRDefault="007B08C3">
      <w:pPr>
        <w:pStyle w:val="ECHRHeading4"/>
      </w:pPr>
      <w:r w:rsidRPr="004D4DD7">
        <w:t>(b)  The Government</w:t>
      </w:r>
    </w:p>
    <w:p w:rsidRPr="004D4DD7" w:rsidR="0044229F" w:rsidP="004D4DD7" w:rsidRDefault="00487574">
      <w:pPr>
        <w:pStyle w:val="ECHRPara"/>
      </w:pPr>
      <w:r w:rsidRPr="004D4DD7">
        <w:fldChar w:fldCharType="begin"/>
      </w:r>
      <w:r w:rsidRPr="004D4DD7">
        <w:instrText xml:space="preserve"> SEQ level0 \*arabic </w:instrText>
      </w:r>
      <w:r w:rsidRPr="004D4DD7">
        <w:fldChar w:fldCharType="separate"/>
      </w:r>
      <w:r w:rsidRPr="004D4DD7" w:rsidR="004D4DD7">
        <w:rPr>
          <w:noProof/>
        </w:rPr>
        <w:t>38</w:t>
      </w:r>
      <w:r w:rsidRPr="004D4DD7">
        <w:fldChar w:fldCharType="end"/>
      </w:r>
      <w:r w:rsidRPr="004D4DD7">
        <w:t>.  </w:t>
      </w:r>
      <w:r w:rsidRPr="004D4DD7" w:rsidR="00193CE2">
        <w:t xml:space="preserve">The Government </w:t>
      </w:r>
      <w:r w:rsidRPr="004D4DD7">
        <w:t xml:space="preserve">submitted that </w:t>
      </w:r>
      <w:r w:rsidRPr="004D4DD7" w:rsidR="00193CE2">
        <w:t>the impugned interference with the applicants</w:t>
      </w:r>
      <w:r w:rsidRPr="004D4DD7" w:rsidR="004D4DD7">
        <w:t>’</w:t>
      </w:r>
      <w:r w:rsidRPr="004D4DD7" w:rsidR="00193CE2">
        <w:t xml:space="preserve"> rights under Article 8 of the Convention</w:t>
      </w:r>
      <w:r w:rsidRPr="004D4DD7">
        <w:t xml:space="preserve"> was lawful given that it was based on A</w:t>
      </w:r>
      <w:r w:rsidRPr="004D4DD7" w:rsidR="00AF4F06">
        <w:t xml:space="preserve">rticle 151 of the </w:t>
      </w:r>
      <w:r w:rsidRPr="004D4DD7">
        <w:t>Code of Execution of Criminal Sentences as worded at the material time.</w:t>
      </w:r>
    </w:p>
    <w:p w:rsidRPr="004D4DD7" w:rsidR="00494936" w:rsidP="004D4DD7" w:rsidRDefault="00494936">
      <w:pPr>
        <w:pStyle w:val="ECHRPara"/>
      </w:pPr>
      <w:r w:rsidRPr="004D4DD7">
        <w:fldChar w:fldCharType="begin"/>
      </w:r>
      <w:r w:rsidRPr="004D4DD7">
        <w:instrText xml:space="preserve"> SEQ level0 \*arabic </w:instrText>
      </w:r>
      <w:r w:rsidRPr="004D4DD7">
        <w:fldChar w:fldCharType="separate"/>
      </w:r>
      <w:r w:rsidRPr="004D4DD7" w:rsidR="004D4DD7">
        <w:rPr>
          <w:noProof/>
        </w:rPr>
        <w:t>39</w:t>
      </w:r>
      <w:r w:rsidRPr="004D4DD7">
        <w:fldChar w:fldCharType="end"/>
      </w:r>
      <w:r w:rsidRPr="004D4DD7">
        <w:t>.  Referring to the State</w:t>
      </w:r>
      <w:r w:rsidRPr="004D4DD7" w:rsidR="004D4DD7">
        <w:t>’</w:t>
      </w:r>
      <w:r w:rsidRPr="004D4DD7">
        <w:t>s obligation to provide security and safety in prisons both by preventing disorder and conflicts among prisoners and by ensuring security of prison staff and visitors, the Government argued that the ban o</w:t>
      </w:r>
      <w:r w:rsidRPr="004D4DD7" w:rsidR="004905DB">
        <w:t>n</w:t>
      </w:r>
      <w:r w:rsidRPr="004D4DD7">
        <w:t xml:space="preserve"> long-term family visits for life prisoners served </w:t>
      </w:r>
      <w:r w:rsidRPr="004D4DD7" w:rsidR="00021D8E">
        <w:t xml:space="preserve">the </w:t>
      </w:r>
      <w:r w:rsidRPr="004D4DD7">
        <w:t>legitimate purpose of preventing disorder and crimes, as well as protection of hea</w:t>
      </w:r>
      <w:r w:rsidRPr="004D4DD7" w:rsidR="00A21FFB">
        <w:t>lth and rights of other people.</w:t>
      </w:r>
      <w:r w:rsidRPr="004D4DD7" w:rsidR="003C3BC9">
        <w:t xml:space="preserve"> The Government referred in that connection to the Court</w:t>
      </w:r>
      <w:r w:rsidRPr="004D4DD7" w:rsidR="004D4DD7">
        <w:t>’</w:t>
      </w:r>
      <w:r w:rsidRPr="004D4DD7" w:rsidR="003C3BC9">
        <w:t xml:space="preserve">s judgment in the case of </w:t>
      </w:r>
      <w:r w:rsidRPr="004D4DD7" w:rsidR="003C3BC9">
        <w:rPr>
          <w:i/>
        </w:rPr>
        <w:t>Trosin</w:t>
      </w:r>
      <w:r w:rsidRPr="004D4DD7" w:rsidR="003C3BC9">
        <w:t xml:space="preserve">, in which the Court considered various restrictions on visits for life prisoners to pursue </w:t>
      </w:r>
      <w:r w:rsidRPr="004D4DD7" w:rsidR="00CA6D70">
        <w:t>“a </w:t>
      </w:r>
      <w:r w:rsidRPr="004D4DD7" w:rsidR="003C3BC9">
        <w:t>legitimate aim” within the meaning of paragraph 2 of Article 8 of the Convention (</w:t>
      </w:r>
      <w:r w:rsidRPr="004D4DD7" w:rsidR="009960D8">
        <w:t>cited above</w:t>
      </w:r>
      <w:r w:rsidRPr="004D4DD7" w:rsidR="003C3BC9">
        <w:t>, § 40).</w:t>
      </w:r>
    </w:p>
    <w:p w:rsidRPr="004D4DD7" w:rsidR="00494936" w:rsidP="004D4DD7" w:rsidRDefault="003B2A65">
      <w:pPr>
        <w:pStyle w:val="ECHRPara"/>
      </w:pPr>
      <w:r w:rsidRPr="004D4DD7">
        <w:fldChar w:fldCharType="begin"/>
      </w:r>
      <w:r w:rsidRPr="004D4DD7">
        <w:instrText xml:space="preserve"> SEQ level0 \*arabic </w:instrText>
      </w:r>
      <w:r w:rsidRPr="004D4DD7">
        <w:fldChar w:fldCharType="separate"/>
      </w:r>
      <w:r w:rsidRPr="004D4DD7" w:rsidR="004D4DD7">
        <w:rPr>
          <w:noProof/>
        </w:rPr>
        <w:t>40</w:t>
      </w:r>
      <w:r w:rsidRPr="004D4DD7">
        <w:fldChar w:fldCharType="end"/>
      </w:r>
      <w:r w:rsidRPr="004D4DD7">
        <w:t>.  </w:t>
      </w:r>
      <w:r w:rsidRPr="004D4DD7" w:rsidR="0040108A">
        <w:t xml:space="preserve">The Government further observed that </w:t>
      </w:r>
      <w:r w:rsidRPr="004D4DD7" w:rsidR="00CD2BED">
        <w:t xml:space="preserve">the life imprisonment, to which </w:t>
      </w:r>
      <w:r w:rsidRPr="004D4DD7" w:rsidR="0040108A">
        <w:t xml:space="preserve">the first applicant </w:t>
      </w:r>
      <w:r w:rsidRPr="004D4DD7" w:rsidR="00CD2BED">
        <w:t>had been sentenced, was the most severe penalty applied in case of the most serious crimes. Accordingly, the regime of that prison sentence inherently implied considerable restrictions.</w:t>
      </w:r>
    </w:p>
    <w:p w:rsidRPr="004D4DD7" w:rsidR="00CD2BED" w:rsidP="004D4DD7" w:rsidRDefault="00CD2BED">
      <w:pPr>
        <w:pStyle w:val="ECHRPara"/>
      </w:pPr>
      <w:r w:rsidRPr="004D4DD7">
        <w:fldChar w:fldCharType="begin"/>
      </w:r>
      <w:r w:rsidRPr="004D4DD7">
        <w:instrText xml:space="preserve"> SEQ level0 \*arabic </w:instrText>
      </w:r>
      <w:r w:rsidRPr="004D4DD7">
        <w:fldChar w:fldCharType="separate"/>
      </w:r>
      <w:r w:rsidRPr="004D4DD7" w:rsidR="004D4DD7">
        <w:rPr>
          <w:noProof/>
        </w:rPr>
        <w:t>41</w:t>
      </w:r>
      <w:r w:rsidRPr="004D4DD7">
        <w:fldChar w:fldCharType="end"/>
      </w:r>
      <w:r w:rsidRPr="004D4DD7">
        <w:t>.  The Government next referred to the disciplinary measures applied to the first applicant by the priso</w:t>
      </w:r>
      <w:r w:rsidRPr="004D4DD7" w:rsidR="00D77EB1">
        <w:t>n administration (see paragraph </w:t>
      </w:r>
      <w:r w:rsidRPr="004D4DD7" w:rsidR="00D77EB1">
        <w:fldChar w:fldCharType="begin"/>
      </w:r>
      <w:r w:rsidRPr="004D4DD7" w:rsidR="00D77EB1">
        <w:instrText xml:space="preserve"> REF Disciplinary_measures \h </w:instrText>
      </w:r>
      <w:r w:rsidRPr="004D4DD7" w:rsidR="00D77EB1">
        <w:fldChar w:fldCharType="separate"/>
      </w:r>
      <w:r w:rsidRPr="004D4DD7" w:rsidR="004D4DD7">
        <w:rPr>
          <w:noProof/>
        </w:rPr>
        <w:t>10</w:t>
      </w:r>
      <w:r w:rsidRPr="004D4DD7" w:rsidR="00D77EB1">
        <w:fldChar w:fldCharType="end"/>
      </w:r>
      <w:r w:rsidRPr="004D4DD7" w:rsidR="00D77EB1">
        <w:t xml:space="preserve"> </w:t>
      </w:r>
      <w:r w:rsidRPr="004D4DD7">
        <w:t>above) as</w:t>
      </w:r>
      <w:r w:rsidRPr="004D4DD7" w:rsidR="00301FA3">
        <w:t xml:space="preserve"> an</w:t>
      </w:r>
      <w:r w:rsidRPr="004D4DD7">
        <w:t xml:space="preserve"> indication of “his inclination to deviant behaviour”.</w:t>
      </w:r>
    </w:p>
    <w:p w:rsidRPr="004D4DD7" w:rsidR="001D1A92" w:rsidP="004D4DD7" w:rsidRDefault="001D1A92">
      <w:pPr>
        <w:pStyle w:val="ECHRHeading3"/>
      </w:pPr>
      <w:r w:rsidRPr="004D4DD7">
        <w:t>2</w:t>
      </w:r>
      <w:r w:rsidRPr="004D4DD7" w:rsidR="0044229F">
        <w:t>.  </w:t>
      </w:r>
      <w:r w:rsidRPr="004D4DD7">
        <w:t>The Court</w:t>
      </w:r>
      <w:r w:rsidRPr="004D4DD7" w:rsidR="004D4DD7">
        <w:t>’</w:t>
      </w:r>
      <w:r w:rsidRPr="004D4DD7">
        <w:t>s assessment</w:t>
      </w:r>
    </w:p>
    <w:p w:rsidRPr="004D4DD7" w:rsidR="008D6A69" w:rsidP="004D4DD7" w:rsidRDefault="001D1A92">
      <w:pPr>
        <w:pStyle w:val="ECHRPara"/>
      </w:pPr>
      <w:r w:rsidRPr="004D4DD7">
        <w:fldChar w:fldCharType="begin"/>
      </w:r>
      <w:r w:rsidRPr="004D4DD7">
        <w:instrText xml:space="preserve"> SEQ level0 \*arabic </w:instrText>
      </w:r>
      <w:r w:rsidRPr="004D4DD7">
        <w:fldChar w:fldCharType="separate"/>
      </w:r>
      <w:r w:rsidRPr="004D4DD7" w:rsidR="004D4DD7">
        <w:rPr>
          <w:noProof/>
        </w:rPr>
        <w:t>42</w:t>
      </w:r>
      <w:r w:rsidRPr="004D4DD7">
        <w:fldChar w:fldCharType="end"/>
      </w:r>
      <w:r w:rsidRPr="004D4DD7">
        <w:t>.  </w:t>
      </w:r>
      <w:r w:rsidRPr="004D4DD7" w:rsidR="008D6A69">
        <w:t xml:space="preserve">The Court </w:t>
      </w:r>
      <w:r w:rsidRPr="004D4DD7" w:rsidR="006E05D0">
        <w:t xml:space="preserve">has held in its case-law that detention, like any other measure depriving a person of his liberty, entails inherent limitations on </w:t>
      </w:r>
      <w:r w:rsidRPr="004D4DD7" w:rsidR="00021D8E">
        <w:t>a prisoner</w:t>
      </w:r>
      <w:r w:rsidRPr="004D4DD7" w:rsidR="004D4DD7">
        <w:t>’</w:t>
      </w:r>
      <w:r w:rsidRPr="004D4DD7" w:rsidR="00021D8E">
        <w:t xml:space="preserve">s </w:t>
      </w:r>
      <w:r w:rsidRPr="004D4DD7" w:rsidR="006E05D0">
        <w:t>private and family life. However, it is an essential part of a prisoner</w:t>
      </w:r>
      <w:r w:rsidRPr="004D4DD7" w:rsidR="004D4DD7">
        <w:t>’</w:t>
      </w:r>
      <w:r w:rsidRPr="004D4DD7" w:rsidR="006E05D0">
        <w:t>s right to respect for family life that the authorities enable him or, if need be, assist him in maintaining con</w:t>
      </w:r>
      <w:r w:rsidRPr="004D4DD7" w:rsidR="004D4DD7">
        <w:t xml:space="preserve">tact with his close family (see </w:t>
      </w:r>
      <w:r w:rsidRPr="004D4DD7" w:rsidR="0044229F">
        <w:rPr>
          <w:i/>
        </w:rPr>
        <w:t>Khoroshenko</w:t>
      </w:r>
      <w:r w:rsidRPr="004D4DD7" w:rsidR="006E05D0">
        <w:rPr>
          <w:snapToGrid w:val="0"/>
        </w:rPr>
        <w:t xml:space="preserve">, </w:t>
      </w:r>
      <w:r w:rsidRPr="004D4DD7" w:rsidR="009960D8">
        <w:rPr>
          <w:snapToGrid w:val="0"/>
        </w:rPr>
        <w:t>cited above</w:t>
      </w:r>
      <w:r w:rsidRPr="004D4DD7" w:rsidR="00546BC0">
        <w:t>, § 106).</w:t>
      </w:r>
    </w:p>
    <w:p w:rsidRPr="004D4DD7" w:rsidR="00546BC0" w:rsidP="004D4DD7" w:rsidRDefault="00546BC0">
      <w:pPr>
        <w:pStyle w:val="ECHRPara"/>
      </w:pPr>
      <w:r w:rsidRPr="004D4DD7">
        <w:fldChar w:fldCharType="begin"/>
      </w:r>
      <w:r w:rsidRPr="004D4DD7">
        <w:instrText xml:space="preserve"> SEQ level0 \*arabic </w:instrText>
      </w:r>
      <w:r w:rsidRPr="004D4DD7">
        <w:fldChar w:fldCharType="separate"/>
      </w:r>
      <w:r w:rsidRPr="004D4DD7" w:rsidR="004D4DD7">
        <w:rPr>
          <w:noProof/>
        </w:rPr>
        <w:t>43</w:t>
      </w:r>
      <w:r w:rsidRPr="004D4DD7">
        <w:fldChar w:fldCharType="end"/>
      </w:r>
      <w:r w:rsidRPr="004D4DD7">
        <w:t xml:space="preserve">.  The starting point in the regulation of visiting rights of prisoners, including life-sentence prisoners, at the European level is that national authorities are under an obligation to prevent the breakdown of family ties and provide life-sentence prisoners with a reasonably good level of contact with their families, with visits organised as often as possible and in as normal manner as possible (see </w:t>
      </w:r>
      <w:r w:rsidRPr="004D4DD7">
        <w:rPr>
          <w:i/>
        </w:rPr>
        <w:t>Khoroshenko</w:t>
      </w:r>
      <w:r w:rsidRPr="004D4DD7">
        <w:rPr>
          <w:snapToGrid w:val="0"/>
        </w:rPr>
        <w:t xml:space="preserve">, cited above, </w:t>
      </w:r>
      <w:r w:rsidRPr="004D4DD7">
        <w:t>§ 134, with further references to the relevant Council of Europe</w:t>
      </w:r>
      <w:r w:rsidRPr="004D4DD7" w:rsidR="004D4DD7">
        <w:t>’</w:t>
      </w:r>
      <w:r w:rsidRPr="004D4DD7">
        <w:t>s documents).</w:t>
      </w:r>
    </w:p>
    <w:p w:rsidRPr="004D4DD7" w:rsidR="00A145FF" w:rsidP="004D4DD7" w:rsidRDefault="00A145FF">
      <w:pPr>
        <w:pStyle w:val="ECHRPara"/>
      </w:pPr>
      <w:r w:rsidRPr="004D4DD7">
        <w:fldChar w:fldCharType="begin"/>
      </w:r>
      <w:r w:rsidRPr="004D4DD7">
        <w:instrText xml:space="preserve"> SEQ level0 \*arabic </w:instrText>
      </w:r>
      <w:r w:rsidRPr="004D4DD7">
        <w:fldChar w:fldCharType="separate"/>
      </w:r>
      <w:r w:rsidRPr="004D4DD7" w:rsidR="004D4DD7">
        <w:rPr>
          <w:noProof/>
        </w:rPr>
        <w:t>44</w:t>
      </w:r>
      <w:r w:rsidRPr="004D4DD7">
        <w:fldChar w:fldCharType="end"/>
      </w:r>
      <w:r w:rsidRPr="004D4DD7">
        <w:t xml:space="preserve">.  The Court notes that </w:t>
      </w:r>
      <w:r w:rsidRPr="004D4DD7" w:rsidR="009960D8">
        <w:t xml:space="preserve">in the present case </w:t>
      </w:r>
      <w:r w:rsidRPr="004D4DD7">
        <w:t>the contested restriction</w:t>
      </w:r>
      <w:r w:rsidRPr="004D4DD7" w:rsidR="003061C8">
        <w:t xml:space="preserve"> was</w:t>
      </w:r>
      <w:r w:rsidRPr="004D4DD7">
        <w:t xml:space="preserve"> imposed on the applicant</w:t>
      </w:r>
      <w:r w:rsidRPr="004D4DD7" w:rsidR="003061C8">
        <w:t>s</w:t>
      </w:r>
      <w:r w:rsidRPr="004D4DD7">
        <w:t xml:space="preserve"> in accordance with Article 151 of the Code of Execution of Criminal Sentences, which at the material time provided </w:t>
      </w:r>
      <w:r w:rsidRPr="004D4DD7" w:rsidR="00021D8E">
        <w:t xml:space="preserve">only </w:t>
      </w:r>
      <w:r w:rsidRPr="004D4DD7">
        <w:t xml:space="preserve">for short-term visits for life prisoners </w:t>
      </w:r>
      <w:r w:rsidRPr="004D4DD7" w:rsidR="0032038B">
        <w:t xml:space="preserve">whereas other categories of prisoners were entitled also to long-term visits </w:t>
      </w:r>
      <w:r w:rsidRPr="004D4DD7">
        <w:t>(see paragraphs</w:t>
      </w:r>
      <w:r w:rsidRPr="004D4DD7" w:rsidR="00C75CC0">
        <w:t xml:space="preserve"> </w:t>
      </w:r>
      <w:r w:rsidRPr="004D4DD7" w:rsidR="00FB7FFD">
        <w:fldChar w:fldCharType="begin"/>
      </w:r>
      <w:r w:rsidRPr="004D4DD7" w:rsidR="00FB7FFD">
        <w:instrText xml:space="preserve"> REF Code_Enforcement_Art138_140 \h </w:instrText>
      </w:r>
      <w:r w:rsidRPr="004D4DD7" w:rsidR="00FB7FFD">
        <w:fldChar w:fldCharType="separate"/>
      </w:r>
      <w:r w:rsidRPr="004D4DD7" w:rsidR="004D4DD7">
        <w:rPr>
          <w:noProof/>
        </w:rPr>
        <w:t>16</w:t>
      </w:r>
      <w:r w:rsidRPr="004D4DD7" w:rsidR="00FB7FFD">
        <w:fldChar w:fldCharType="end"/>
      </w:r>
      <w:r w:rsidRPr="004D4DD7" w:rsidR="00C75CC0">
        <w:t>-</w:t>
      </w:r>
      <w:r w:rsidRPr="004D4DD7" w:rsidR="00C75CC0">
        <w:fldChar w:fldCharType="begin"/>
      </w:r>
      <w:r w:rsidRPr="004D4DD7" w:rsidR="00C75CC0">
        <w:instrText xml:space="preserve"> REF Code_Enforcement_Art151_end \h </w:instrText>
      </w:r>
      <w:r w:rsidRPr="004D4DD7" w:rsidR="00C75CC0">
        <w:fldChar w:fldCharType="separate"/>
      </w:r>
      <w:r w:rsidRPr="004D4DD7" w:rsidR="004D4DD7">
        <w:rPr>
          <w:noProof/>
        </w:rPr>
        <w:t>19</w:t>
      </w:r>
      <w:r w:rsidRPr="004D4DD7" w:rsidR="00C75CC0">
        <w:fldChar w:fldCharType="end"/>
      </w:r>
      <w:r w:rsidRPr="004D4DD7" w:rsidR="00C75CC0">
        <w:t xml:space="preserve"> </w:t>
      </w:r>
      <w:r w:rsidRPr="004D4DD7">
        <w:t>above).</w:t>
      </w:r>
      <w:r w:rsidRPr="004D4DD7" w:rsidR="003061C8">
        <w:t xml:space="preserve"> Accordingly, the impugned interference </w:t>
      </w:r>
      <w:r w:rsidRPr="004D4DD7">
        <w:t xml:space="preserve">had a legal basis in </w:t>
      </w:r>
      <w:r w:rsidRPr="004D4DD7" w:rsidR="003061C8">
        <w:t>Ukrainian</w:t>
      </w:r>
      <w:r w:rsidRPr="004D4DD7">
        <w:t xml:space="preserve"> law and the law itself was clear, accessible and sufficiently precise.</w:t>
      </w:r>
    </w:p>
    <w:p w:rsidRPr="004D4DD7" w:rsidR="00607D39" w:rsidP="004D4DD7" w:rsidRDefault="008D45E0">
      <w:pPr>
        <w:pStyle w:val="ECHRPara"/>
      </w:pPr>
      <w:r w:rsidRPr="004D4DD7">
        <w:fldChar w:fldCharType="begin"/>
      </w:r>
      <w:r w:rsidRPr="004D4DD7">
        <w:instrText xml:space="preserve"> SEQ level0 \*arabic </w:instrText>
      </w:r>
      <w:r w:rsidRPr="004D4DD7">
        <w:fldChar w:fldCharType="separate"/>
      </w:r>
      <w:r w:rsidRPr="004D4DD7" w:rsidR="004D4DD7">
        <w:rPr>
          <w:noProof/>
        </w:rPr>
        <w:t>45</w:t>
      </w:r>
      <w:r w:rsidRPr="004D4DD7">
        <w:fldChar w:fldCharType="end"/>
      </w:r>
      <w:r w:rsidRPr="004D4DD7">
        <w:t>.  </w:t>
      </w:r>
      <w:r w:rsidRPr="004D4DD7" w:rsidR="00607D39">
        <w:t xml:space="preserve">Even assuming that </w:t>
      </w:r>
      <w:r w:rsidRPr="004D4DD7">
        <w:t>that interference</w:t>
      </w:r>
      <w:r w:rsidRPr="004D4DD7" w:rsidR="00607D39">
        <w:t xml:space="preserve"> served a legitimate aim within the meaning of Article 8 § 2, it remains to be examined whether it was proportionate and struck a fair balance between the competing private and public interests (see </w:t>
      </w:r>
      <w:r w:rsidRPr="004D4DD7" w:rsidR="00193D00">
        <w:rPr>
          <w:i/>
        </w:rPr>
        <w:t>Trosin</w:t>
      </w:r>
      <w:r w:rsidRPr="004D4DD7" w:rsidR="00607D39">
        <w:t xml:space="preserve">, </w:t>
      </w:r>
      <w:r w:rsidRPr="004D4DD7" w:rsidR="00193D00">
        <w:t>cited above</w:t>
      </w:r>
      <w:r w:rsidRPr="004D4DD7" w:rsidR="00607D39">
        <w:t xml:space="preserve">, § 40, and </w:t>
      </w:r>
      <w:r w:rsidRPr="004D4DD7" w:rsidR="00607D39">
        <w:rPr>
          <w:i/>
        </w:rPr>
        <w:t>Khoroshenko</w:t>
      </w:r>
      <w:r w:rsidRPr="004D4DD7" w:rsidR="00607D39">
        <w:t xml:space="preserve">, </w:t>
      </w:r>
      <w:r w:rsidRPr="004D4DD7" w:rsidR="00193D00">
        <w:t xml:space="preserve">cited above, </w:t>
      </w:r>
      <w:r w:rsidRPr="004D4DD7" w:rsidR="00607D39">
        <w:t>§ 139).</w:t>
      </w:r>
    </w:p>
    <w:p w:rsidRPr="004D4DD7" w:rsidR="003061C8" w:rsidP="004D4DD7" w:rsidRDefault="008D45E0">
      <w:pPr>
        <w:pStyle w:val="ECHRPara"/>
      </w:pPr>
      <w:r w:rsidRPr="004D4DD7">
        <w:fldChar w:fldCharType="begin"/>
      </w:r>
      <w:r w:rsidRPr="004D4DD7">
        <w:instrText xml:space="preserve"> SEQ level0 \*arabic </w:instrText>
      </w:r>
      <w:r w:rsidRPr="004D4DD7">
        <w:fldChar w:fldCharType="separate"/>
      </w:r>
      <w:r w:rsidRPr="004D4DD7" w:rsidR="004D4DD7">
        <w:rPr>
          <w:noProof/>
        </w:rPr>
        <w:t>46</w:t>
      </w:r>
      <w:r w:rsidRPr="004D4DD7">
        <w:fldChar w:fldCharType="end"/>
      </w:r>
      <w:r w:rsidRPr="004D4DD7">
        <w:t xml:space="preserve">.  The Court is aware that a sentence of life imprisonment in Ukraine can only be handed down for a limited group of extremely reprehensible and dangerous actions and that in the case at hand the authorities had had, among other things, to strike a delicate balance between a number of private and public interests (see </w:t>
      </w:r>
      <w:r w:rsidRPr="004D4DD7" w:rsidR="00E36A9A">
        <w:t>paragraph</w:t>
      </w:r>
      <w:r w:rsidRPr="004D4DD7" w:rsidR="00EF42E6">
        <w:t xml:space="preserve">s </w:t>
      </w:r>
      <w:r w:rsidRPr="004D4DD7" w:rsidR="00EF42E6">
        <w:fldChar w:fldCharType="begin"/>
      </w:r>
      <w:r w:rsidRPr="004D4DD7" w:rsidR="00EF42E6">
        <w:instrText xml:space="preserve"> REF Life_sentence_begin \h </w:instrText>
      </w:r>
      <w:r w:rsidRPr="004D4DD7" w:rsidR="00EF42E6">
        <w:fldChar w:fldCharType="separate"/>
      </w:r>
      <w:r w:rsidRPr="004D4DD7" w:rsidR="004D4DD7">
        <w:rPr>
          <w:noProof/>
        </w:rPr>
        <w:t>13</w:t>
      </w:r>
      <w:r w:rsidRPr="004D4DD7" w:rsidR="00EF42E6">
        <w:fldChar w:fldCharType="end"/>
      </w:r>
      <w:r w:rsidRPr="004D4DD7" w:rsidR="00EF42E6">
        <w:t xml:space="preserve"> and </w:t>
      </w:r>
      <w:r w:rsidRPr="004D4DD7" w:rsidR="00EF42E6">
        <w:fldChar w:fldCharType="begin"/>
      </w:r>
      <w:r w:rsidRPr="004D4DD7" w:rsidR="00EF42E6">
        <w:instrText xml:space="preserve"> REF Life_sentence_end \h </w:instrText>
      </w:r>
      <w:r w:rsidRPr="004D4DD7" w:rsidR="00EF42E6">
        <w:fldChar w:fldCharType="separate"/>
      </w:r>
      <w:r w:rsidRPr="004D4DD7" w:rsidR="004D4DD7">
        <w:rPr>
          <w:noProof/>
        </w:rPr>
        <w:t>14</w:t>
      </w:r>
      <w:r w:rsidRPr="004D4DD7" w:rsidR="00EF42E6">
        <w:fldChar w:fldCharType="end"/>
      </w:r>
      <w:r w:rsidRPr="004D4DD7" w:rsidR="00EF42E6">
        <w:t xml:space="preserve"> </w:t>
      </w:r>
      <w:r w:rsidRPr="004D4DD7" w:rsidR="00E36A9A">
        <w:t>above</w:t>
      </w:r>
      <w:r w:rsidRPr="004D4DD7" w:rsidR="00EF42E6">
        <w:t>,</w:t>
      </w:r>
      <w:r w:rsidRPr="004D4DD7" w:rsidR="00E36A9A">
        <w:t xml:space="preserve"> </w:t>
      </w:r>
      <w:r w:rsidRPr="004D4DD7">
        <w:t>and compare with</w:t>
      </w:r>
      <w:r w:rsidRPr="004D4DD7" w:rsidR="00193D00">
        <w:rPr>
          <w:i/>
        </w:rPr>
        <w:t xml:space="preserve"> Khoroshenko</w:t>
      </w:r>
      <w:r w:rsidRPr="004D4DD7" w:rsidR="004B4FA4">
        <w:t xml:space="preserve">, </w:t>
      </w:r>
      <w:r w:rsidRPr="004D4DD7" w:rsidR="00193D00">
        <w:t>cited above, § 131).</w:t>
      </w:r>
    </w:p>
    <w:p w:rsidRPr="004D4DD7" w:rsidR="004B4FA4" w:rsidP="004D4DD7" w:rsidRDefault="008D45E0">
      <w:pPr>
        <w:pStyle w:val="ECHRPara"/>
      </w:pPr>
      <w:r w:rsidRPr="004D4DD7">
        <w:fldChar w:fldCharType="begin"/>
      </w:r>
      <w:r w:rsidRPr="004D4DD7">
        <w:instrText xml:space="preserve"> SEQ level0 \*arabic </w:instrText>
      </w:r>
      <w:r w:rsidRPr="004D4DD7">
        <w:fldChar w:fldCharType="separate"/>
      </w:r>
      <w:r w:rsidRPr="004D4DD7" w:rsidR="004D4DD7">
        <w:rPr>
          <w:noProof/>
        </w:rPr>
        <w:t>47</w:t>
      </w:r>
      <w:r w:rsidRPr="004D4DD7">
        <w:fldChar w:fldCharType="end"/>
      </w:r>
      <w:r w:rsidRPr="004D4DD7">
        <w:t>.  </w:t>
      </w:r>
      <w:r w:rsidRPr="004D4DD7" w:rsidR="00021D8E">
        <w:t>However, t</w:t>
      </w:r>
      <w:r w:rsidRPr="004D4DD7" w:rsidR="00C74E28">
        <w:t>he impugned restriction was imposed directly by law and concerned the first applicant solely on account of his life sentence and irrespective of any other factors (see paragraph</w:t>
      </w:r>
      <w:r w:rsidRPr="004D4DD7" w:rsidR="00D77EB1">
        <w:t>s</w:t>
      </w:r>
      <w:r w:rsidRPr="004D4DD7" w:rsidR="00C75CC0">
        <w:t xml:space="preserve"> </w:t>
      </w:r>
      <w:r w:rsidRPr="004D4DD7" w:rsidR="00C75CC0">
        <w:fldChar w:fldCharType="begin"/>
      </w:r>
      <w:r w:rsidRPr="004D4DD7" w:rsidR="00C75CC0">
        <w:instrText xml:space="preserve"> REF Code_Enforcement_Art151_begin \h </w:instrText>
      </w:r>
      <w:r w:rsidRPr="004D4DD7" w:rsidR="00C75CC0">
        <w:fldChar w:fldCharType="separate"/>
      </w:r>
      <w:r w:rsidRPr="004D4DD7" w:rsidR="004D4DD7">
        <w:rPr>
          <w:noProof/>
        </w:rPr>
        <w:t>17</w:t>
      </w:r>
      <w:r w:rsidRPr="004D4DD7" w:rsidR="00C75CC0">
        <w:fldChar w:fldCharType="end"/>
      </w:r>
      <w:r w:rsidRPr="004D4DD7" w:rsidR="00F7634E">
        <w:t>-</w:t>
      </w:r>
      <w:r w:rsidRPr="004D4DD7" w:rsidR="00E03F1D">
        <w:fldChar w:fldCharType="begin"/>
      </w:r>
      <w:r w:rsidRPr="004D4DD7" w:rsidR="00E03F1D">
        <w:instrText xml:space="preserve"> REF Code_Enforcement_Art151_end \h </w:instrText>
      </w:r>
      <w:r w:rsidRPr="004D4DD7" w:rsidR="00E03F1D">
        <w:fldChar w:fldCharType="separate"/>
      </w:r>
      <w:r w:rsidRPr="004D4DD7" w:rsidR="004D4DD7">
        <w:rPr>
          <w:noProof/>
        </w:rPr>
        <w:t>19</w:t>
      </w:r>
      <w:r w:rsidRPr="004D4DD7" w:rsidR="00E03F1D">
        <w:fldChar w:fldCharType="end"/>
      </w:r>
      <w:r w:rsidRPr="004D4DD7" w:rsidR="00F7634E">
        <w:t xml:space="preserve"> </w:t>
      </w:r>
      <w:r w:rsidRPr="004D4DD7" w:rsidR="00C74E28">
        <w:t xml:space="preserve">above). </w:t>
      </w:r>
      <w:r w:rsidRPr="004D4DD7" w:rsidR="004B4FA4">
        <w:t xml:space="preserve">The Court has held that the State does not have a free hand in introducing restrictions in a general manner without affording any degree of flexibility for determining whether limitations in specific cases are appropriate or indeed necessary, especially regarding post-conviction prisoners (see </w:t>
      </w:r>
      <w:r w:rsidRPr="004D4DD7" w:rsidR="004B4FA4">
        <w:rPr>
          <w:i/>
        </w:rPr>
        <w:t>Khoroshenko</w:t>
      </w:r>
      <w:r w:rsidRPr="004D4DD7" w:rsidR="004B4FA4">
        <w:t>, cited above, § 126).</w:t>
      </w:r>
    </w:p>
    <w:p w:rsidRPr="004D4DD7" w:rsidR="001A212A" w:rsidP="004D4DD7" w:rsidRDefault="004B4FA4">
      <w:pPr>
        <w:pStyle w:val="ECHRPara"/>
      </w:pPr>
      <w:r w:rsidRPr="004D4DD7">
        <w:fldChar w:fldCharType="begin"/>
      </w:r>
      <w:r w:rsidRPr="004D4DD7">
        <w:instrText xml:space="preserve"> SEQ level0 \*arabic </w:instrText>
      </w:r>
      <w:r w:rsidRPr="004D4DD7">
        <w:fldChar w:fldCharType="separate"/>
      </w:r>
      <w:r w:rsidRPr="004D4DD7" w:rsidR="004D4DD7">
        <w:rPr>
          <w:noProof/>
        </w:rPr>
        <w:t>48</w:t>
      </w:r>
      <w:r w:rsidRPr="004D4DD7">
        <w:fldChar w:fldCharType="end"/>
      </w:r>
      <w:r w:rsidRPr="004D4DD7">
        <w:t xml:space="preserve">.  It is noteworthy that the </w:t>
      </w:r>
      <w:r w:rsidRPr="004D4DD7" w:rsidR="001A212A">
        <w:t xml:space="preserve">legislation </w:t>
      </w:r>
      <w:r w:rsidRPr="004D4DD7">
        <w:t xml:space="preserve">in question </w:t>
      </w:r>
      <w:r w:rsidRPr="004D4DD7" w:rsidR="001A212A">
        <w:t>was eventually amended and the impugned ban was lifted. However, at the material time the applicants had had no reasons to hope that this would happen one day.</w:t>
      </w:r>
      <w:r w:rsidRPr="004D4DD7" w:rsidR="003F0F78">
        <w:t xml:space="preserve"> It is also worth noting that the CPT recommended that life-sentence prisoners should only be prohibited from receiving long-term visits on the basis of an individual risk assessment</w:t>
      </w:r>
      <w:r w:rsidRPr="004D4DD7" w:rsidR="001D19EF">
        <w:t xml:space="preserve"> (see paragraph </w:t>
      </w:r>
      <w:r w:rsidRPr="004D4DD7" w:rsidR="00021183">
        <w:fldChar w:fldCharType="begin"/>
      </w:r>
      <w:r w:rsidRPr="004D4DD7" w:rsidR="00021183">
        <w:instrText xml:space="preserve"> REF CPT_report \h </w:instrText>
      </w:r>
      <w:r w:rsidRPr="004D4DD7" w:rsidR="00021183">
        <w:fldChar w:fldCharType="separate"/>
      </w:r>
      <w:r w:rsidRPr="004D4DD7" w:rsidR="004D4DD7">
        <w:rPr>
          <w:noProof/>
          <w:lang w:val="en-US"/>
        </w:rPr>
        <w:t>22</w:t>
      </w:r>
      <w:r w:rsidRPr="004D4DD7" w:rsidR="00021183">
        <w:fldChar w:fldCharType="end"/>
      </w:r>
      <w:r w:rsidRPr="004D4DD7" w:rsidR="00021183">
        <w:t xml:space="preserve"> above).</w:t>
      </w:r>
    </w:p>
    <w:p w:rsidRPr="004D4DD7" w:rsidR="000265EF" w:rsidP="004D4DD7" w:rsidRDefault="00B119A4">
      <w:pPr>
        <w:pStyle w:val="ECHRPara"/>
      </w:pPr>
      <w:r w:rsidRPr="004D4DD7">
        <w:fldChar w:fldCharType="begin"/>
      </w:r>
      <w:r w:rsidRPr="004D4DD7">
        <w:instrText xml:space="preserve"> SEQ level0 \*arabic </w:instrText>
      </w:r>
      <w:r w:rsidRPr="004D4DD7">
        <w:fldChar w:fldCharType="separate"/>
      </w:r>
      <w:r w:rsidRPr="004D4DD7" w:rsidR="004D4DD7">
        <w:rPr>
          <w:noProof/>
        </w:rPr>
        <w:t>49</w:t>
      </w:r>
      <w:r w:rsidRPr="004D4DD7">
        <w:fldChar w:fldCharType="end"/>
      </w:r>
      <w:r w:rsidRPr="004D4DD7">
        <w:t>.  </w:t>
      </w:r>
      <w:r w:rsidRPr="004D4DD7" w:rsidR="00F04BF7">
        <w:t xml:space="preserve">The Court </w:t>
      </w:r>
      <w:r w:rsidRPr="004D4DD7" w:rsidR="00424ABB">
        <w:t xml:space="preserve">therefore </w:t>
      </w:r>
      <w:r w:rsidRPr="004D4DD7" w:rsidR="00F04BF7">
        <w:t xml:space="preserve">concludes that the interference </w:t>
      </w:r>
      <w:r w:rsidRPr="004D4DD7">
        <w:t>with the applicant</w:t>
      </w:r>
      <w:r w:rsidRPr="004D4DD7" w:rsidR="00F04BF7">
        <w:t>s</w:t>
      </w:r>
      <w:r w:rsidRPr="004D4DD7" w:rsidR="004D4DD7">
        <w:t>’</w:t>
      </w:r>
      <w:r w:rsidRPr="004D4DD7" w:rsidR="00F04BF7">
        <w:t xml:space="preserve"> family life resulting from </w:t>
      </w:r>
      <w:r w:rsidRPr="004D4DD7">
        <w:t xml:space="preserve">the absolute ban on long-term family visits for life prisoners </w:t>
      </w:r>
      <w:r w:rsidRPr="004D4DD7" w:rsidR="00F04BF7">
        <w:t>solely on account of the gravity of a prisoner</w:t>
      </w:r>
      <w:r w:rsidRPr="004D4DD7" w:rsidR="004D4DD7">
        <w:t>’</w:t>
      </w:r>
      <w:r w:rsidRPr="004D4DD7" w:rsidR="00F04BF7">
        <w:t xml:space="preserve">s sentence </w:t>
      </w:r>
      <w:r w:rsidRPr="004D4DD7" w:rsidR="003F0F78">
        <w:t xml:space="preserve">without any individual risk assessment </w:t>
      </w:r>
      <w:r w:rsidRPr="004D4DD7" w:rsidR="00F04BF7">
        <w:t>was, as such, disproportionate to the aims invoked by the Government</w:t>
      </w:r>
      <w:r w:rsidRPr="004D4DD7" w:rsidR="00424ABB">
        <w:t>. That</w:t>
      </w:r>
      <w:r w:rsidRPr="004D4DD7" w:rsidR="000265EF">
        <w:t xml:space="preserve"> situation was further aggravated by various rules on the modalities of prison visits, such as the ban on direct physical contact, separation by a glass wall or metal bars, the continuous presence of prison guards during visits, and the limit on a maximum number of adult visitors (see </w:t>
      </w:r>
      <w:r w:rsidRPr="004D4DD7" w:rsidR="000265EF">
        <w:rPr>
          <w:i/>
        </w:rPr>
        <w:t>Trosin</w:t>
      </w:r>
      <w:r w:rsidRPr="004D4DD7" w:rsidR="000265EF">
        <w:t>, cited above, §§ 43-46).</w:t>
      </w:r>
    </w:p>
    <w:bookmarkStart w:name="Violation_Art8" w:id="14"/>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50</w:t>
      </w:r>
      <w:r w:rsidRPr="004D4DD7">
        <w:fldChar w:fldCharType="end"/>
      </w:r>
      <w:bookmarkEnd w:id="14"/>
      <w:r w:rsidRPr="004D4DD7" w:rsidR="0077175D">
        <w:t>.  The foregoing considerations are sufficient to ena</w:t>
      </w:r>
      <w:r w:rsidRPr="004D4DD7" w:rsidR="00424ABB">
        <w:t xml:space="preserve">ble the Court to conclude that there has been </w:t>
      </w:r>
      <w:r w:rsidRPr="004D4DD7" w:rsidR="0077175D">
        <w:t xml:space="preserve">a violation of Article </w:t>
      </w:r>
      <w:r w:rsidRPr="004D4DD7" w:rsidR="00424ABB">
        <w:t>8</w:t>
      </w:r>
      <w:r w:rsidRPr="004D4DD7" w:rsidR="0077175D">
        <w:t xml:space="preserve"> of the Conv</w:t>
      </w:r>
      <w:r w:rsidRPr="004D4DD7" w:rsidR="00424ABB">
        <w:t>ention.</w:t>
      </w:r>
    </w:p>
    <w:p w:rsidRPr="004D4DD7" w:rsidR="00D420F3" w:rsidP="004D4DD7" w:rsidRDefault="00F77A1D">
      <w:pPr>
        <w:pStyle w:val="ECHRHeading1"/>
      </w:pPr>
      <w:r w:rsidRPr="004D4DD7">
        <w:t>II</w:t>
      </w:r>
      <w:r w:rsidRPr="004D4DD7" w:rsidR="0077175D">
        <w:t xml:space="preserve">.  ALLEGED VIOLATION OF ARTICLE </w:t>
      </w:r>
      <w:r w:rsidRPr="004D4DD7">
        <w:t>13</w:t>
      </w:r>
      <w:r w:rsidRPr="004D4DD7" w:rsidR="0077175D">
        <w:t xml:space="preserve"> OF THE CONVENTION</w:t>
      </w:r>
      <w:r w:rsidRPr="004D4DD7" w:rsidR="00735BC5">
        <w:t xml:space="preserve"> IN CONJUNCTION WITH ARTICLE 8</w:t>
      </w:r>
    </w:p>
    <w:p w:rsidRPr="004D4DD7" w:rsidR="005C49F4" w:rsidP="004D4DD7" w:rsidRDefault="006D1CDE">
      <w:pPr>
        <w:pStyle w:val="ECHRPara"/>
      </w:pPr>
      <w:r w:rsidRPr="004D4DD7">
        <w:fldChar w:fldCharType="begin"/>
      </w:r>
      <w:r w:rsidRPr="004D4DD7">
        <w:instrText xml:space="preserve"> SEQ level0 \*arabic </w:instrText>
      </w:r>
      <w:r w:rsidRPr="004D4DD7">
        <w:fldChar w:fldCharType="separate"/>
      </w:r>
      <w:r w:rsidRPr="004D4DD7" w:rsidR="004D4DD7">
        <w:rPr>
          <w:noProof/>
        </w:rPr>
        <w:t>51</w:t>
      </w:r>
      <w:r w:rsidRPr="004D4DD7">
        <w:rPr>
          <w:noProof/>
        </w:rPr>
        <w:fldChar w:fldCharType="end"/>
      </w:r>
      <w:r w:rsidRPr="004D4DD7" w:rsidR="005C49F4">
        <w:t>.  </w:t>
      </w:r>
      <w:r w:rsidRPr="004D4DD7" w:rsidR="004B4FA4">
        <w:t xml:space="preserve">The </w:t>
      </w:r>
      <w:r w:rsidRPr="004D4DD7" w:rsidR="005C49F4">
        <w:t>applicants further complained that they had not had an effective domestic remedy in respect of their above complaint under Article 8 of the Convention. They relied on Article 13 of the Convention, which reads as follows:</w:t>
      </w:r>
    </w:p>
    <w:p w:rsidRPr="004D4DD7" w:rsidR="005C49F4" w:rsidP="004D4DD7" w:rsidRDefault="005C49F4">
      <w:pPr>
        <w:pStyle w:val="ECHRParaQuote"/>
      </w:pPr>
      <w:r w:rsidRPr="004D4DD7">
        <w:t>“Everyone whose rights and freedoms as set forth in [the] Convention are violated shall have an effective remedy before a national authority notwithstanding that the violation has been committed by persons acting in an official capacity.”</w:t>
      </w:r>
    </w:p>
    <w:p w:rsidRPr="004D4DD7" w:rsidR="00661223" w:rsidP="004D4DD7" w:rsidRDefault="00661223">
      <w:pPr>
        <w:pStyle w:val="ECHRHeading2"/>
      </w:pPr>
      <w:r w:rsidRPr="004D4DD7">
        <w:t>A.  Admissibility</w:t>
      </w:r>
    </w:p>
    <w:p w:rsidRPr="004D4DD7" w:rsidR="00D800D5" w:rsidP="004D4DD7" w:rsidRDefault="00692716">
      <w:pPr>
        <w:pStyle w:val="ECHRPara"/>
      </w:pPr>
      <w:r w:rsidRPr="004D4DD7">
        <w:fldChar w:fldCharType="begin"/>
      </w:r>
      <w:r w:rsidRPr="004D4DD7">
        <w:instrText xml:space="preserve"> SEQ level0 \*arabic </w:instrText>
      </w:r>
      <w:r w:rsidRPr="004D4DD7">
        <w:fldChar w:fldCharType="separate"/>
      </w:r>
      <w:r w:rsidRPr="004D4DD7" w:rsidR="004D4DD7">
        <w:rPr>
          <w:noProof/>
        </w:rPr>
        <w:t>52</w:t>
      </w:r>
      <w:r w:rsidRPr="004D4DD7">
        <w:fldChar w:fldCharType="end"/>
      </w:r>
      <w:r w:rsidRPr="004D4DD7">
        <w:t xml:space="preserve">.  The Court notes that </w:t>
      </w:r>
      <w:r w:rsidRPr="004D4DD7" w:rsidR="00D800D5">
        <w:t>the applicants</w:t>
      </w:r>
      <w:r w:rsidRPr="004D4DD7" w:rsidR="004D4DD7">
        <w:t>’</w:t>
      </w:r>
      <w:r w:rsidRPr="004D4DD7" w:rsidR="00D800D5">
        <w:t xml:space="preserve"> complaint under Article 13</w:t>
      </w:r>
      <w:r w:rsidRPr="004D4DD7">
        <w:t>, being</w:t>
      </w:r>
      <w:r w:rsidRPr="004D4DD7" w:rsidR="00D800D5">
        <w:t xml:space="preserve"> linked to </w:t>
      </w:r>
      <w:r w:rsidRPr="004D4DD7">
        <w:t>their</w:t>
      </w:r>
      <w:r w:rsidRPr="004D4DD7" w:rsidR="00D800D5">
        <w:t xml:space="preserve"> complaints, regarding which the Court </w:t>
      </w:r>
      <w:r w:rsidRPr="004D4DD7">
        <w:t xml:space="preserve">has </w:t>
      </w:r>
      <w:r w:rsidRPr="004D4DD7" w:rsidR="00D800D5">
        <w:t>found a violation Article</w:t>
      </w:r>
      <w:r w:rsidRPr="004D4DD7">
        <w:t xml:space="preserve"> </w:t>
      </w:r>
      <w:r w:rsidRPr="004D4DD7" w:rsidR="00D800D5">
        <w:t>8 of the Convention (see paragraph</w:t>
      </w:r>
      <w:r w:rsidRPr="004D4DD7" w:rsidR="00D77EB1">
        <w:t xml:space="preserve"> </w:t>
      </w:r>
      <w:r w:rsidRPr="004D4DD7" w:rsidR="00D77EB1">
        <w:fldChar w:fldCharType="begin"/>
      </w:r>
      <w:r w:rsidRPr="004D4DD7" w:rsidR="00D77EB1">
        <w:instrText xml:space="preserve"> REF Violation_Art8 \h </w:instrText>
      </w:r>
      <w:r w:rsidRPr="004D4DD7" w:rsidR="00D77EB1">
        <w:fldChar w:fldCharType="separate"/>
      </w:r>
      <w:r w:rsidRPr="004D4DD7" w:rsidR="004D4DD7">
        <w:rPr>
          <w:noProof/>
        </w:rPr>
        <w:t>50</w:t>
      </w:r>
      <w:r w:rsidRPr="004D4DD7" w:rsidR="00D77EB1">
        <w:fldChar w:fldCharType="end"/>
      </w:r>
      <w:r w:rsidRPr="004D4DD7" w:rsidR="00D77EB1">
        <w:t xml:space="preserve"> </w:t>
      </w:r>
      <w:r w:rsidRPr="004D4DD7" w:rsidR="00D800D5">
        <w:t>above), is not manifestly ill-founded within the meaning of Article 35 § 3 (a) of the Convention. It further notes that it is not inadmissible on any other grounds. It must therefore be declared admissible.</w:t>
      </w:r>
    </w:p>
    <w:p w:rsidRPr="004D4DD7" w:rsidR="00661223" w:rsidP="004D4DD7" w:rsidRDefault="00661223">
      <w:pPr>
        <w:pStyle w:val="ECHRHeading2"/>
      </w:pPr>
      <w:r w:rsidRPr="004D4DD7">
        <w:t>B.  Merits</w:t>
      </w:r>
    </w:p>
    <w:bookmarkStart w:name="No_violation_Art13" w:id="15"/>
    <w:p w:rsidRPr="004D4DD7" w:rsidR="00FE0A5C" w:rsidP="004D4DD7" w:rsidRDefault="00CA5C0B">
      <w:pPr>
        <w:pStyle w:val="ECHRPara"/>
        <w:rPr>
          <w:i/>
        </w:rPr>
      </w:pPr>
      <w:r w:rsidRPr="004D4DD7">
        <w:fldChar w:fldCharType="begin"/>
      </w:r>
      <w:r w:rsidRPr="004D4DD7">
        <w:instrText xml:space="preserve"> SEQ level0 \*arabic </w:instrText>
      </w:r>
      <w:r w:rsidRPr="004D4DD7">
        <w:fldChar w:fldCharType="separate"/>
      </w:r>
      <w:r w:rsidRPr="004D4DD7" w:rsidR="004D4DD7">
        <w:rPr>
          <w:noProof/>
        </w:rPr>
        <w:t>53</w:t>
      </w:r>
      <w:r w:rsidRPr="004D4DD7">
        <w:fldChar w:fldCharType="end"/>
      </w:r>
      <w:bookmarkEnd w:id="15"/>
      <w:r w:rsidRPr="004D4DD7">
        <w:t>.  </w:t>
      </w:r>
      <w:r w:rsidRPr="004D4DD7" w:rsidR="00FE0A5C">
        <w:t>The Court reiterates that Article 13 cannot be interpreted as requiring a remedy against the state of domestic law, as otherwise the Court would be imposing on Contracting States a requirement to incorporate the Convention (see</w:t>
      </w:r>
      <w:r w:rsidRPr="004D4DD7" w:rsidR="00DD1D63">
        <w:t xml:space="preserve"> </w:t>
      </w:r>
      <w:r w:rsidRPr="004D4DD7" w:rsidR="00DD1D63">
        <w:rPr>
          <w:i/>
        </w:rPr>
        <w:t>Christine Goodwin v. the United Kingdom</w:t>
      </w:r>
      <w:r w:rsidRPr="004D4DD7" w:rsidR="00DD1D63">
        <w:t xml:space="preserve"> [GC], no. 28957/95, § 113, ECHR 2002</w:t>
      </w:r>
      <w:r w:rsidRPr="004D4DD7" w:rsidR="00DD1D63">
        <w:noBreakHyphen/>
        <w:t xml:space="preserve">VI, and </w:t>
      </w:r>
      <w:r w:rsidRPr="004D4DD7" w:rsidR="00FE0A5C">
        <w:rPr>
          <w:i/>
        </w:rPr>
        <w:t>Titarenko v. Ukraine</w:t>
      </w:r>
      <w:r w:rsidRPr="004D4DD7" w:rsidR="00FE0A5C">
        <w:t>, no.</w:t>
      </w:r>
      <w:r w:rsidRPr="004D4DD7" w:rsidR="00DD1D63">
        <w:t> </w:t>
      </w:r>
      <w:r w:rsidRPr="004D4DD7" w:rsidR="00FE0A5C">
        <w:t>31720/02</w:t>
      </w:r>
      <w:r w:rsidRPr="004D4DD7" w:rsidR="00FE0A5C">
        <w:rPr>
          <w:snapToGrid w:val="0"/>
        </w:rPr>
        <w:t xml:space="preserve">, § 110, </w:t>
      </w:r>
      <w:r w:rsidRPr="004D4DD7" w:rsidR="00FE0A5C">
        <w:t>20</w:t>
      </w:r>
      <w:r w:rsidRPr="004D4DD7" w:rsidR="00FE0A5C">
        <w:rPr>
          <w:snapToGrid w:val="0"/>
        </w:rPr>
        <w:t xml:space="preserve"> September 2012, with further references). </w:t>
      </w:r>
      <w:r w:rsidRPr="004D4DD7" w:rsidR="00FE0A5C">
        <w:t xml:space="preserve">In these circumstances, the Court finds no breach of Article 13 of the Convention </w:t>
      </w:r>
      <w:r w:rsidRPr="004D4DD7">
        <w:t>in the present case</w:t>
      </w:r>
      <w:r w:rsidRPr="004D4DD7" w:rsidR="00FE0A5C">
        <w:t>.</w:t>
      </w:r>
    </w:p>
    <w:p w:rsidRPr="004D4DD7" w:rsidR="00D420F3" w:rsidP="004D4DD7" w:rsidRDefault="00F77A1D">
      <w:pPr>
        <w:pStyle w:val="ECHRHeading1"/>
      </w:pPr>
      <w:r w:rsidRPr="004D4DD7">
        <w:t>III</w:t>
      </w:r>
      <w:r w:rsidRPr="004D4DD7" w:rsidR="0077175D">
        <w:t xml:space="preserve">.  ALLEGED VIOLATION OF ARTICLE </w:t>
      </w:r>
      <w:r w:rsidRPr="004D4DD7">
        <w:t>12</w:t>
      </w:r>
      <w:r w:rsidRPr="004D4DD7" w:rsidR="0077175D">
        <w:t xml:space="preserve"> OF THE CONVENTION</w:t>
      </w:r>
    </w:p>
    <w:p w:rsidRPr="004D4DD7" w:rsidR="001F2032"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54</w:t>
      </w:r>
      <w:r w:rsidRPr="004D4DD7">
        <w:fldChar w:fldCharType="end"/>
      </w:r>
      <w:r w:rsidRPr="004D4DD7" w:rsidR="0077175D">
        <w:t>.  The applicant</w:t>
      </w:r>
      <w:r w:rsidRPr="004D4DD7">
        <w:t>s</w:t>
      </w:r>
      <w:r w:rsidRPr="004D4DD7" w:rsidR="0029554A">
        <w:t xml:space="preserve"> additionally complained that the ban on long-term family visits for life prisoners had been in breach of their rights under Article 12 of the Convention</w:t>
      </w:r>
      <w:r w:rsidRPr="004D4DD7" w:rsidR="001F2032">
        <w:t xml:space="preserve"> which reads as follows:</w:t>
      </w:r>
    </w:p>
    <w:p w:rsidRPr="004D4DD7" w:rsidR="001F2032" w:rsidP="004D4DD7" w:rsidRDefault="001F2032">
      <w:pPr>
        <w:pStyle w:val="ECHRParaQuote"/>
      </w:pPr>
      <w:r w:rsidRPr="004D4DD7">
        <w:t>“Men and women of marriageable age have the right to marry and to found a family, according to the national laws governing the exercise of this right.”</w:t>
      </w:r>
    </w:p>
    <w:p w:rsidRPr="004D4DD7" w:rsidR="005847D8" w:rsidP="004D4DD7" w:rsidRDefault="0029554A">
      <w:pPr>
        <w:pStyle w:val="ECHRPara"/>
      </w:pPr>
      <w:r w:rsidRPr="004D4DD7">
        <w:fldChar w:fldCharType="begin"/>
      </w:r>
      <w:r w:rsidRPr="004D4DD7">
        <w:instrText xml:space="preserve"> SEQ level0 \*arabic </w:instrText>
      </w:r>
      <w:r w:rsidRPr="004D4DD7">
        <w:fldChar w:fldCharType="separate"/>
      </w:r>
      <w:r w:rsidRPr="004D4DD7" w:rsidR="004D4DD7">
        <w:rPr>
          <w:noProof/>
        </w:rPr>
        <w:t>55</w:t>
      </w:r>
      <w:r w:rsidRPr="004D4DD7">
        <w:fldChar w:fldCharType="end"/>
      </w:r>
      <w:r w:rsidRPr="004D4DD7">
        <w:t>.  </w:t>
      </w:r>
      <w:r w:rsidRPr="004D4DD7" w:rsidR="005847D8">
        <w:t>Having regard to the facts of the case, the submissions of the parties, and its findings under Article</w:t>
      </w:r>
      <w:r w:rsidRPr="004D4DD7" w:rsidR="002C4CBC">
        <w:t>s</w:t>
      </w:r>
      <w:r w:rsidRPr="004D4DD7" w:rsidR="005847D8">
        <w:t xml:space="preserve"> 8 and </w:t>
      </w:r>
      <w:r w:rsidRPr="004D4DD7" w:rsidR="00D77EB1">
        <w:t xml:space="preserve">13 </w:t>
      </w:r>
      <w:r w:rsidRPr="004D4DD7" w:rsidR="004D4DD7">
        <w:t xml:space="preserve">of the Convention (see </w:t>
      </w:r>
      <w:r w:rsidRPr="004D4DD7" w:rsidR="00D77EB1">
        <w:t>paragraphs </w:t>
      </w:r>
      <w:r w:rsidRPr="004D4DD7" w:rsidR="00D77EB1">
        <w:fldChar w:fldCharType="begin"/>
      </w:r>
      <w:r w:rsidRPr="004D4DD7" w:rsidR="00D77EB1">
        <w:instrText xml:space="preserve"> REF Violation_Art8 \h </w:instrText>
      </w:r>
      <w:r w:rsidRPr="004D4DD7" w:rsidR="00D77EB1">
        <w:fldChar w:fldCharType="separate"/>
      </w:r>
      <w:r w:rsidRPr="004D4DD7" w:rsidR="004D4DD7">
        <w:rPr>
          <w:noProof/>
        </w:rPr>
        <w:t>50</w:t>
      </w:r>
      <w:r w:rsidRPr="004D4DD7" w:rsidR="00D77EB1">
        <w:fldChar w:fldCharType="end"/>
      </w:r>
      <w:r w:rsidRPr="004D4DD7" w:rsidR="00D77EB1">
        <w:t xml:space="preserve"> and </w:t>
      </w:r>
      <w:r w:rsidRPr="004D4DD7" w:rsidR="00D77EB1">
        <w:fldChar w:fldCharType="begin"/>
      </w:r>
      <w:r w:rsidRPr="004D4DD7" w:rsidR="00D77EB1">
        <w:instrText xml:space="preserve"> REF No_violation_Art13 \h </w:instrText>
      </w:r>
      <w:r w:rsidRPr="004D4DD7" w:rsidR="00D77EB1">
        <w:fldChar w:fldCharType="separate"/>
      </w:r>
      <w:r w:rsidRPr="004D4DD7" w:rsidR="004D4DD7">
        <w:rPr>
          <w:noProof/>
        </w:rPr>
        <w:t>53</w:t>
      </w:r>
      <w:r w:rsidRPr="004D4DD7" w:rsidR="00D77EB1">
        <w:fldChar w:fldCharType="end"/>
      </w:r>
      <w:r w:rsidRPr="004D4DD7" w:rsidR="00D77EB1">
        <w:t xml:space="preserve"> </w:t>
      </w:r>
      <w:r w:rsidRPr="004D4DD7" w:rsidR="005847D8">
        <w:t xml:space="preserve">above), the Court considers that it has examined the main legal question raised in the present application, and that there is no need to give a separate ruling on the admissibility and merits of the above-mentioned complaint (see, for example, </w:t>
      </w:r>
      <w:r w:rsidRPr="004D4DD7" w:rsidR="005847D8">
        <w:rPr>
          <w:i/>
        </w:rPr>
        <w:t>Centre for Legal Resources on behalf of Valentin Câmpeanu v. Romania</w:t>
      </w:r>
      <w:r w:rsidRPr="004D4DD7" w:rsidR="005847D8">
        <w:t xml:space="preserve"> </w:t>
      </w:r>
      <w:r w:rsidRPr="004D4DD7" w:rsidR="004D4DD7">
        <w:t>[GC], no. 47848/08, § 156, ECHR </w:t>
      </w:r>
      <w:r w:rsidRPr="004D4DD7" w:rsidR="005847D8">
        <w:t>2014).</w:t>
      </w:r>
    </w:p>
    <w:p w:rsidRPr="004D4DD7" w:rsidR="00D420F3" w:rsidP="004D4DD7" w:rsidRDefault="00F77A1D">
      <w:pPr>
        <w:pStyle w:val="ECHRHeading1"/>
      </w:pPr>
      <w:r w:rsidRPr="004D4DD7">
        <w:t>IV</w:t>
      </w:r>
      <w:r w:rsidRPr="004D4DD7" w:rsidR="0077175D">
        <w:t>.  APPLICATION OF ARTICLE 41 OF THE CONVENTION</w:t>
      </w:r>
    </w:p>
    <w:p w:rsidRPr="004D4DD7" w:rsidR="00D420F3" w:rsidP="004D4DD7" w:rsidRDefault="0029554A">
      <w:pPr>
        <w:pStyle w:val="ECHRPara"/>
      </w:pPr>
      <w:r w:rsidRPr="004D4DD7">
        <w:fldChar w:fldCharType="begin"/>
      </w:r>
      <w:r w:rsidRPr="004D4DD7">
        <w:instrText xml:space="preserve"> SEQ level0 \*arabic </w:instrText>
      </w:r>
      <w:r w:rsidRPr="004D4DD7">
        <w:fldChar w:fldCharType="separate"/>
      </w:r>
      <w:r w:rsidRPr="004D4DD7" w:rsidR="004D4DD7">
        <w:rPr>
          <w:noProof/>
        </w:rPr>
        <w:t>56</w:t>
      </w:r>
      <w:r w:rsidRPr="004D4DD7">
        <w:fldChar w:fldCharType="end"/>
      </w:r>
      <w:r w:rsidRPr="004D4DD7">
        <w:t>.  </w:t>
      </w:r>
      <w:r w:rsidRPr="004D4DD7" w:rsidR="0077175D">
        <w:t>Article 41 of the Convention provides:</w:t>
      </w:r>
    </w:p>
    <w:p w:rsidRPr="004D4DD7" w:rsidR="00D420F3" w:rsidP="004D4DD7" w:rsidRDefault="0077175D">
      <w:pPr>
        <w:pStyle w:val="ECHRParaQuote"/>
        <w:keepNext/>
        <w:keepLines/>
      </w:pPr>
      <w:r w:rsidRPr="004D4DD7">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4D4DD7" w:rsidR="00D420F3" w:rsidP="004D4DD7" w:rsidRDefault="0077175D">
      <w:pPr>
        <w:pStyle w:val="ECHRHeading2"/>
      </w:pPr>
      <w:r w:rsidRPr="004D4DD7">
        <w:t>A.  Damage</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57</w:t>
      </w:r>
      <w:r w:rsidRPr="004D4DD7">
        <w:fldChar w:fldCharType="end"/>
      </w:r>
      <w:r w:rsidRPr="004D4DD7" w:rsidR="0077175D">
        <w:t>.  The applicant</w:t>
      </w:r>
      <w:r w:rsidRPr="004D4DD7">
        <w:t>s</w:t>
      </w:r>
      <w:r w:rsidRPr="004D4DD7" w:rsidR="0077175D">
        <w:t xml:space="preserve"> claimed </w:t>
      </w:r>
      <w:r w:rsidRPr="004D4DD7" w:rsidR="003433C0">
        <w:t>100,000</w:t>
      </w:r>
      <w:r w:rsidRPr="004D4DD7" w:rsidR="0044229F">
        <w:t xml:space="preserve"> euros (EUR) in respect of non</w:t>
      </w:r>
      <w:r w:rsidRPr="004D4DD7" w:rsidR="0044229F">
        <w:noBreakHyphen/>
      </w:r>
      <w:r w:rsidRPr="004D4DD7" w:rsidR="0077175D">
        <w:t>pecuniary damage.</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58</w:t>
      </w:r>
      <w:r w:rsidRPr="004D4DD7">
        <w:fldChar w:fldCharType="end"/>
      </w:r>
      <w:r w:rsidRPr="004D4DD7" w:rsidR="00CA5077">
        <w:t>.  The Government contested the above claim as excessive.</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59</w:t>
      </w:r>
      <w:r w:rsidRPr="004D4DD7">
        <w:fldChar w:fldCharType="end"/>
      </w:r>
      <w:r w:rsidRPr="004D4DD7" w:rsidR="0077175D">
        <w:t xml:space="preserve">.  The Court </w:t>
      </w:r>
      <w:r w:rsidRPr="004D4DD7" w:rsidR="0029554A">
        <w:t xml:space="preserve">considers it appropriate to </w:t>
      </w:r>
      <w:r w:rsidRPr="004D4DD7" w:rsidR="0077175D">
        <w:t>award</w:t>
      </w:r>
      <w:r w:rsidRPr="004D4DD7" w:rsidR="0029554A">
        <w:t xml:space="preserve"> </w:t>
      </w:r>
      <w:r w:rsidRPr="004D4DD7" w:rsidR="0077175D">
        <w:t xml:space="preserve">EUR </w:t>
      </w:r>
      <w:r w:rsidRPr="004D4DD7" w:rsidR="00E82E3F">
        <w:t>3</w:t>
      </w:r>
      <w:r w:rsidRPr="004D4DD7" w:rsidR="0029554A">
        <w:t>,000 to each of the applicants</w:t>
      </w:r>
      <w:r w:rsidRPr="004D4DD7" w:rsidR="0077175D">
        <w:t xml:space="preserve"> in respect of non-pecuniary damage.</w:t>
      </w:r>
    </w:p>
    <w:p w:rsidRPr="004D4DD7" w:rsidR="00D420F3" w:rsidP="004D4DD7" w:rsidRDefault="0077175D">
      <w:pPr>
        <w:pStyle w:val="ECHRHeading2"/>
      </w:pPr>
      <w:r w:rsidRPr="004D4DD7">
        <w:t>B.  Costs and expenses</w:t>
      </w:r>
    </w:p>
    <w:p w:rsidRPr="004D4DD7" w:rsidR="004A6E4D"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60</w:t>
      </w:r>
      <w:r w:rsidRPr="004D4DD7">
        <w:fldChar w:fldCharType="end"/>
      </w:r>
      <w:r w:rsidRPr="004D4DD7" w:rsidR="0077175D">
        <w:t>.  The applicant</w:t>
      </w:r>
      <w:r w:rsidRPr="004D4DD7">
        <w:t>s</w:t>
      </w:r>
      <w:r w:rsidRPr="004D4DD7" w:rsidR="0077175D">
        <w:t xml:space="preserve"> also claimed EUR </w:t>
      </w:r>
      <w:r w:rsidRPr="004D4DD7" w:rsidR="003433C0">
        <w:t>655</w:t>
      </w:r>
      <w:r w:rsidRPr="004D4DD7" w:rsidR="0077175D">
        <w:t xml:space="preserve"> for the costs and expenses incurred before the Court.</w:t>
      </w:r>
      <w:r w:rsidRPr="004D4DD7" w:rsidR="004A6E4D">
        <w:t xml:space="preserve"> They submitted the report by Mr Bukalov of 17 October 2016 on the work performed</w:t>
      </w:r>
      <w:r w:rsidRPr="004D4DD7" w:rsidR="00783A6A">
        <w:t xml:space="preserve">, according to which that was the amount of </w:t>
      </w:r>
      <w:r w:rsidRPr="004D4DD7" w:rsidR="00F7634E">
        <w:t>his</w:t>
      </w:r>
      <w:r w:rsidRPr="004D4DD7" w:rsidR="00783A6A">
        <w:t xml:space="preserve"> remuneration</w:t>
      </w:r>
      <w:r w:rsidRPr="004D4DD7" w:rsidR="004A6E4D">
        <w:t>. It indicated an hourly rate</w:t>
      </w:r>
      <w:r w:rsidRPr="004D4DD7" w:rsidR="00783A6A">
        <w:t xml:space="preserve"> of EUR </w:t>
      </w:r>
      <w:r w:rsidRPr="004D4DD7" w:rsidR="004A6E4D">
        <w:t xml:space="preserve">17.2 and specified that he had worked a total of thirty-eight hours on the case. As confirmed by the bank transfer receipts of </w:t>
      </w:r>
      <w:r w:rsidRPr="004D4DD7" w:rsidR="00783A6A">
        <w:t>10 and 15 October 2016, the above amount was paid to Mr Bukalov in full.</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61</w:t>
      </w:r>
      <w:r w:rsidRPr="004D4DD7">
        <w:fldChar w:fldCharType="end"/>
      </w:r>
      <w:r w:rsidRPr="004D4DD7" w:rsidR="00A71029">
        <w:t>.  The Government observed that, although the applicants had provided the relevant receipts in support the above claim, they had failed to submit any legal services agreement concluded with Mr Bukalov. The Government therefore invited the Court to reject the applicants</w:t>
      </w:r>
      <w:r w:rsidRPr="004D4DD7" w:rsidR="004D4DD7">
        <w:t>’</w:t>
      </w:r>
      <w:r w:rsidRPr="004D4DD7" w:rsidR="00A71029">
        <w:t xml:space="preserve"> claim under this head.</w:t>
      </w:r>
    </w:p>
    <w:p w:rsidRPr="004D4DD7" w:rsidR="00916074" w:rsidP="004D4DD7" w:rsidRDefault="00D3258D">
      <w:pPr>
        <w:pStyle w:val="ECHRPara"/>
      </w:pPr>
      <w:r w:rsidRPr="004D4DD7">
        <w:fldChar w:fldCharType="begin"/>
      </w:r>
      <w:r w:rsidRPr="004D4DD7">
        <w:instrText xml:space="preserve"> SEQ level0 \*arabic </w:instrText>
      </w:r>
      <w:r w:rsidRPr="004D4DD7">
        <w:fldChar w:fldCharType="separate"/>
      </w:r>
      <w:r w:rsidRPr="004D4DD7" w:rsidR="004D4DD7">
        <w:rPr>
          <w:noProof/>
        </w:rPr>
        <w:t>62</w:t>
      </w:r>
      <w:r w:rsidRPr="004D4DD7">
        <w:fldChar w:fldCharType="end"/>
      </w:r>
      <w:r w:rsidRPr="004D4DD7">
        <w:t>.  </w:t>
      </w:r>
      <w:r w:rsidRPr="004D4DD7" w:rsidR="00916074">
        <w:t>According to the Court</w:t>
      </w:r>
      <w:r w:rsidRPr="004D4DD7" w:rsidR="004D4DD7">
        <w:t>’</w:t>
      </w:r>
      <w:r w:rsidRPr="004D4DD7" w:rsidR="00916074">
        <w:t>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allow the applicants</w:t>
      </w:r>
      <w:r w:rsidRPr="004D4DD7" w:rsidR="004D4DD7">
        <w:t>’</w:t>
      </w:r>
      <w:r w:rsidRPr="004D4DD7" w:rsidR="00916074">
        <w:t xml:space="preserve"> claim for costs and expenses in full and to award them the sum of EUR 655.</w:t>
      </w:r>
    </w:p>
    <w:p w:rsidRPr="004D4DD7" w:rsidR="00D420F3" w:rsidP="004D4DD7" w:rsidRDefault="0077175D">
      <w:pPr>
        <w:pStyle w:val="ECHRHeading2"/>
      </w:pPr>
      <w:r w:rsidRPr="004D4DD7">
        <w:t>C.  Default interest</w:t>
      </w:r>
    </w:p>
    <w:p w:rsidRPr="004D4DD7" w:rsidR="00D420F3" w:rsidP="004D4DD7" w:rsidRDefault="00D14839">
      <w:pPr>
        <w:pStyle w:val="ECHRPara"/>
      </w:pPr>
      <w:r w:rsidRPr="004D4DD7">
        <w:fldChar w:fldCharType="begin"/>
      </w:r>
      <w:r w:rsidRPr="004D4DD7">
        <w:instrText xml:space="preserve"> SEQ level0 \*arabic </w:instrText>
      </w:r>
      <w:r w:rsidRPr="004D4DD7">
        <w:fldChar w:fldCharType="separate"/>
      </w:r>
      <w:r w:rsidRPr="004D4DD7" w:rsidR="004D4DD7">
        <w:rPr>
          <w:noProof/>
        </w:rPr>
        <w:t>63</w:t>
      </w:r>
      <w:r w:rsidRPr="004D4DD7">
        <w:fldChar w:fldCharType="end"/>
      </w:r>
      <w:r w:rsidRPr="004D4DD7" w:rsidR="0077175D">
        <w:t>.  The Court considers it appropriate that the default interest rate should be based on the marginal lending rate of the European Central Bank, to which should be added three percentage points.</w:t>
      </w:r>
    </w:p>
    <w:p w:rsidRPr="004D4DD7" w:rsidR="00D420F3" w:rsidP="004D4DD7" w:rsidRDefault="0077175D">
      <w:pPr>
        <w:pStyle w:val="ECHRTitle1"/>
      </w:pPr>
      <w:r w:rsidRPr="004D4DD7">
        <w:t>FOR THESE REASONS, THE COURT</w:t>
      </w:r>
      <w:r w:rsidRPr="004D4DD7" w:rsidR="00D14839">
        <w:t>, UNANIMOUSLY,</w:t>
      </w:r>
    </w:p>
    <w:p w:rsidRPr="004D4DD7" w:rsidR="00701070" w:rsidP="004D4DD7" w:rsidRDefault="00701070">
      <w:pPr>
        <w:pStyle w:val="JuList"/>
      </w:pPr>
      <w:r w:rsidRPr="004D4DD7">
        <w:t>1.  </w:t>
      </w:r>
      <w:r w:rsidRPr="004D4DD7">
        <w:rPr>
          <w:i/>
        </w:rPr>
        <w:t>Declares</w:t>
      </w:r>
      <w:r w:rsidRPr="004D4DD7">
        <w:t xml:space="preserve"> the applicants</w:t>
      </w:r>
      <w:r w:rsidRPr="004D4DD7" w:rsidR="004D4DD7">
        <w:t>’</w:t>
      </w:r>
      <w:r w:rsidRPr="004D4DD7">
        <w:t xml:space="preserve"> complaints under Articles 8 and 13 of the Convention admissible;</w:t>
      </w:r>
    </w:p>
    <w:p w:rsidRPr="004D4DD7" w:rsidR="00701070" w:rsidP="004D4DD7" w:rsidRDefault="00701070">
      <w:pPr>
        <w:pStyle w:val="JuList"/>
      </w:pPr>
    </w:p>
    <w:p w:rsidRPr="004D4DD7" w:rsidR="00701070" w:rsidP="004D4DD7" w:rsidRDefault="00701070">
      <w:pPr>
        <w:pStyle w:val="JuList"/>
      </w:pPr>
      <w:r w:rsidRPr="004D4DD7">
        <w:t>2.  </w:t>
      </w:r>
      <w:r w:rsidRPr="004D4DD7">
        <w:rPr>
          <w:i/>
        </w:rPr>
        <w:t>Holds</w:t>
      </w:r>
      <w:r w:rsidRPr="004D4DD7">
        <w:t xml:space="preserve"> that it is not necessary to examine the admissibility and merits of their complaint under Article 12 of the Convention;</w:t>
      </w:r>
    </w:p>
    <w:p w:rsidRPr="004D4DD7" w:rsidR="00D420F3" w:rsidP="004D4DD7" w:rsidRDefault="00D420F3">
      <w:pPr>
        <w:pStyle w:val="JuList"/>
        <w:ind w:left="0" w:firstLine="0"/>
      </w:pPr>
    </w:p>
    <w:p w:rsidRPr="004D4DD7" w:rsidR="00D420F3" w:rsidP="004D4DD7" w:rsidRDefault="00701070">
      <w:pPr>
        <w:pStyle w:val="JuList"/>
      </w:pPr>
      <w:r w:rsidRPr="004D4DD7">
        <w:t>3</w:t>
      </w:r>
      <w:r w:rsidRPr="004D4DD7" w:rsidR="0077175D">
        <w:t>.  </w:t>
      </w:r>
      <w:r w:rsidRPr="004D4DD7" w:rsidR="0077175D">
        <w:rPr>
          <w:i/>
        </w:rPr>
        <w:t>Holds</w:t>
      </w:r>
      <w:r w:rsidRPr="004D4DD7" w:rsidR="0077175D">
        <w:rPr>
          <w:color w:val="000000"/>
        </w:rPr>
        <w:t xml:space="preserve"> </w:t>
      </w:r>
      <w:r w:rsidRPr="004D4DD7" w:rsidR="0077175D">
        <w:t xml:space="preserve">that there has been a violation of Article </w:t>
      </w:r>
      <w:r w:rsidRPr="004D4DD7">
        <w:t>8</w:t>
      </w:r>
      <w:r w:rsidRPr="004D4DD7" w:rsidR="0077175D">
        <w:t xml:space="preserve"> of the Convention;</w:t>
      </w:r>
    </w:p>
    <w:p w:rsidRPr="004D4DD7" w:rsidR="00D420F3" w:rsidP="004D4DD7" w:rsidRDefault="00D420F3">
      <w:pPr>
        <w:pStyle w:val="JuList"/>
      </w:pPr>
    </w:p>
    <w:p w:rsidRPr="004D4DD7" w:rsidR="00D420F3" w:rsidP="004D4DD7" w:rsidRDefault="00701070">
      <w:pPr>
        <w:pStyle w:val="JuList"/>
      </w:pPr>
      <w:r w:rsidRPr="004D4DD7">
        <w:t>4</w:t>
      </w:r>
      <w:r w:rsidRPr="004D4DD7" w:rsidR="0077175D">
        <w:t>.  </w:t>
      </w:r>
      <w:r w:rsidRPr="004D4DD7" w:rsidR="0077175D">
        <w:rPr>
          <w:i/>
        </w:rPr>
        <w:t>Holds</w:t>
      </w:r>
      <w:r w:rsidRPr="004D4DD7" w:rsidR="0077175D">
        <w:rPr>
          <w:color w:val="000000"/>
        </w:rPr>
        <w:t xml:space="preserve"> </w:t>
      </w:r>
      <w:r w:rsidRPr="004D4DD7" w:rsidR="0077175D">
        <w:t xml:space="preserve">that there has been </w:t>
      </w:r>
      <w:r w:rsidRPr="004D4DD7" w:rsidR="00916074">
        <w:t>no</w:t>
      </w:r>
      <w:r w:rsidRPr="004D4DD7" w:rsidR="0077175D">
        <w:t xml:space="preserve"> violation of Article </w:t>
      </w:r>
      <w:r w:rsidRPr="004D4DD7">
        <w:t>13</w:t>
      </w:r>
      <w:r w:rsidRPr="004D4DD7" w:rsidR="0077175D">
        <w:t xml:space="preserve"> of the Convention</w:t>
      </w:r>
      <w:r w:rsidRPr="004D4DD7">
        <w:t xml:space="preserve"> in conjunction with Article 8</w:t>
      </w:r>
      <w:r w:rsidRPr="004D4DD7" w:rsidR="0077175D">
        <w:t>;</w:t>
      </w:r>
    </w:p>
    <w:p w:rsidRPr="004D4DD7" w:rsidR="00D420F3" w:rsidP="004D4DD7" w:rsidRDefault="00D420F3">
      <w:pPr>
        <w:pStyle w:val="JuList"/>
      </w:pPr>
    </w:p>
    <w:p w:rsidRPr="004D4DD7" w:rsidR="0044229F" w:rsidP="004D4DD7" w:rsidRDefault="00916074">
      <w:pPr>
        <w:pStyle w:val="JuList"/>
      </w:pPr>
      <w:r w:rsidRPr="004D4DD7">
        <w:t>5</w:t>
      </w:r>
      <w:r w:rsidRPr="004D4DD7" w:rsidR="0077175D">
        <w:t>.  </w:t>
      </w:r>
      <w:r w:rsidRPr="004D4DD7" w:rsidR="0077175D">
        <w:rPr>
          <w:i/>
        </w:rPr>
        <w:t>Holds</w:t>
      </w:r>
    </w:p>
    <w:p w:rsidRPr="004D4DD7" w:rsidR="00501A1C" w:rsidP="004D4DD7" w:rsidRDefault="00501A1C">
      <w:pPr>
        <w:pStyle w:val="JuLista"/>
      </w:pPr>
      <w:r w:rsidRPr="004D4DD7">
        <w:t>(a)  that the respondent State is to pay, within three months, the following amounts, to be converted into the currency of the respondent State at the rate appli</w:t>
      </w:r>
      <w:r w:rsidRPr="004D4DD7" w:rsidR="00496074">
        <w:t>cable at the date of settlement</w:t>
      </w:r>
      <w:r w:rsidRPr="004D4DD7">
        <w:t>:</w:t>
      </w:r>
    </w:p>
    <w:p w:rsidRPr="004D4DD7" w:rsidR="00501A1C" w:rsidP="004D4DD7" w:rsidRDefault="00501A1C">
      <w:pPr>
        <w:pStyle w:val="JuListi"/>
      </w:pPr>
      <w:r w:rsidRPr="004D4DD7">
        <w:t xml:space="preserve">(i)  EUR </w:t>
      </w:r>
      <w:r w:rsidRPr="004D4DD7" w:rsidR="00E82E3F">
        <w:t>3</w:t>
      </w:r>
      <w:r w:rsidRPr="004D4DD7">
        <w:t>,000 (</w:t>
      </w:r>
      <w:r w:rsidRPr="004D4DD7" w:rsidR="00E82E3F">
        <w:t xml:space="preserve">three </w:t>
      </w:r>
      <w:r w:rsidRPr="004D4DD7">
        <w:t>thousand euros) to each applicant in respect of non-pecuniary damage</w:t>
      </w:r>
      <w:r w:rsidRPr="004D4DD7" w:rsidR="00496074">
        <w:t>, plus any tax that may be chargeable</w:t>
      </w:r>
      <w:r w:rsidRPr="004D4DD7">
        <w:t>;</w:t>
      </w:r>
    </w:p>
    <w:p w:rsidRPr="004D4DD7" w:rsidR="00501A1C" w:rsidP="004D4DD7" w:rsidRDefault="00501A1C">
      <w:pPr>
        <w:pStyle w:val="JuListi"/>
      </w:pPr>
      <w:r w:rsidRPr="004D4DD7">
        <w:t xml:space="preserve">(ii)  EUR 655 (six hundred </w:t>
      </w:r>
      <w:r w:rsidRPr="004D4DD7" w:rsidR="002D72B5">
        <w:t xml:space="preserve">and </w:t>
      </w:r>
      <w:r w:rsidRPr="004D4DD7">
        <w:t>fifty-five euros) jointly, plus any tax that may be chargeable to the applicants, in respect of legal costs before the Court;</w:t>
      </w:r>
    </w:p>
    <w:p w:rsidRPr="004D4DD7" w:rsidR="00501A1C" w:rsidP="004D4DD7" w:rsidRDefault="00501A1C">
      <w:pPr>
        <w:pStyle w:val="JuLista"/>
      </w:pPr>
      <w:r w:rsidRPr="004D4DD7">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4D4DD7" w:rsidR="00501A1C" w:rsidP="004D4DD7" w:rsidRDefault="00501A1C">
      <w:pPr>
        <w:pStyle w:val="JuLista"/>
        <w:ind w:left="709" w:hanging="363"/>
      </w:pPr>
    </w:p>
    <w:p w:rsidRPr="004D4DD7" w:rsidR="00D420F3" w:rsidP="004D4DD7" w:rsidRDefault="00C43C10">
      <w:pPr>
        <w:pStyle w:val="JuList"/>
      </w:pPr>
      <w:r w:rsidRPr="004D4DD7">
        <w:t>6</w:t>
      </w:r>
      <w:r w:rsidRPr="004D4DD7" w:rsidR="0077175D">
        <w:t>.  </w:t>
      </w:r>
      <w:r w:rsidRPr="004D4DD7" w:rsidR="0077175D">
        <w:rPr>
          <w:i/>
        </w:rPr>
        <w:t>Dismisses</w:t>
      </w:r>
      <w:r w:rsidRPr="004D4DD7" w:rsidR="0077175D">
        <w:rPr>
          <w:color w:val="000000"/>
        </w:rPr>
        <w:t xml:space="preserve"> </w:t>
      </w:r>
      <w:r w:rsidRPr="004D4DD7" w:rsidR="0077175D">
        <w:t>the remainder of the applicant</w:t>
      </w:r>
      <w:r w:rsidRPr="004D4DD7" w:rsidR="00D14839">
        <w:t>s</w:t>
      </w:r>
      <w:r w:rsidRPr="004D4DD7" w:rsidR="004D4DD7">
        <w:t>’</w:t>
      </w:r>
      <w:r w:rsidRPr="004D4DD7" w:rsidR="0077175D">
        <w:t xml:space="preserve"> claim for just satisfaction.</w:t>
      </w:r>
    </w:p>
    <w:p w:rsidRPr="004D4DD7" w:rsidR="00D420F3" w:rsidP="004D4DD7" w:rsidRDefault="0077175D">
      <w:pPr>
        <w:pStyle w:val="JuParaLast"/>
      </w:pPr>
      <w:r w:rsidRPr="004D4DD7">
        <w:t xml:space="preserve">Done in English, and notified in writing on </w:t>
      </w:r>
      <w:r w:rsidRPr="004D4DD7" w:rsidR="000A7E6B">
        <w:t>21 March 2019</w:t>
      </w:r>
      <w:r w:rsidRPr="004D4DD7">
        <w:t>, pursuant to Rule 77 §§ 2 and 3 of the Rules of Court.</w:t>
      </w:r>
    </w:p>
    <w:p w:rsidRPr="004D4DD7" w:rsidR="00C81E19" w:rsidP="004D4DD7" w:rsidRDefault="00C81E19">
      <w:pPr>
        <w:pStyle w:val="JuSigned"/>
      </w:pPr>
      <w:r w:rsidRPr="004D4DD7">
        <w:tab/>
        <w:t>Milan Blaško</w:t>
      </w:r>
      <w:r w:rsidRPr="004D4DD7">
        <w:tab/>
        <w:t>Síofra O</w:t>
      </w:r>
      <w:r w:rsidRPr="004D4DD7" w:rsidR="004D4DD7">
        <w:t>’</w:t>
      </w:r>
      <w:r w:rsidRPr="004D4DD7">
        <w:t>Leary</w:t>
      </w:r>
      <w:r w:rsidRPr="004D4DD7">
        <w:br/>
      </w:r>
      <w:r w:rsidRPr="004D4DD7">
        <w:tab/>
        <w:t>Deputy Registrar</w:t>
      </w:r>
      <w:r w:rsidRPr="004D4DD7">
        <w:tab/>
        <w:t>President</w:t>
      </w:r>
    </w:p>
    <w:sectPr w:rsidRPr="004D4DD7" w:rsidR="00C81E19" w:rsidSect="000A7E6B">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2E6" w:rsidRPr="009C0C45" w:rsidRDefault="00EF42E6">
      <w:r w:rsidRPr="009C0C45">
        <w:separator/>
      </w:r>
    </w:p>
  </w:endnote>
  <w:endnote w:type="continuationSeparator" w:id="0">
    <w:p w:rsidR="00EF42E6" w:rsidRPr="009C0C45" w:rsidRDefault="00EF42E6">
      <w:r w:rsidRPr="009C0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6B" w:rsidRPr="00150BFA" w:rsidRDefault="000A7E6B" w:rsidP="0020718E">
    <w:pPr>
      <w:jc w:val="center"/>
    </w:pPr>
    <w:r>
      <w:rPr>
        <w:noProof/>
        <w:lang w:val="en-US" w:eastAsia="ja-JP"/>
      </w:rPr>
      <w:drawing>
        <wp:inline distT="0" distB="0" distL="0" distR="0" wp14:anchorId="6C239456" wp14:editId="2BFE8714">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0A7E6B" w:rsidRDefault="000A7E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2E6" w:rsidRPr="009C0C45" w:rsidRDefault="00EF42E6" w:rsidP="00D420F3">
      <w:r w:rsidRPr="009C0C45">
        <w:separator/>
      </w:r>
    </w:p>
  </w:footnote>
  <w:footnote w:type="continuationSeparator" w:id="0">
    <w:p w:rsidR="00EF42E6" w:rsidRPr="009C0C45" w:rsidRDefault="00EF42E6" w:rsidP="00D420F3">
      <w:r w:rsidRPr="009C0C45">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2E6" w:rsidRPr="000A7E6B" w:rsidRDefault="00EF42E6" w:rsidP="000A7E6B">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6B" w:rsidRPr="00A45145" w:rsidRDefault="000A7E6B" w:rsidP="00A45145">
    <w:pPr>
      <w:jc w:val="center"/>
    </w:pPr>
    <w:r>
      <w:rPr>
        <w:noProof/>
        <w:lang w:val="en-US" w:eastAsia="ja-JP"/>
      </w:rPr>
      <w:drawing>
        <wp:inline distT="0" distB="0" distL="0" distR="0" wp14:anchorId="459A2A4F" wp14:editId="4655FEFA">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EF42E6" w:rsidRDefault="00EF42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6B" w:rsidRPr="009C0C45" w:rsidRDefault="000A7E6B"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4D4DD7">
      <w:rPr>
        <w:rStyle w:val="PageNumber"/>
        <w:noProof/>
        <w:szCs w:val="18"/>
      </w:rPr>
      <w:t>12</w:t>
    </w:r>
    <w:r>
      <w:rPr>
        <w:rStyle w:val="PageNumber"/>
        <w:szCs w:val="18"/>
      </w:rPr>
      <w:fldChar w:fldCharType="end"/>
    </w:r>
    <w:r w:rsidRPr="009C0C45">
      <w:tab/>
    </w:r>
    <w:r>
      <w:t>BIGUN v. UKRAINE</w:t>
    </w:r>
    <w:r w:rsidRPr="009C0C45">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6B" w:rsidRPr="009C0C45" w:rsidRDefault="000A7E6B" w:rsidP="00D420F3">
    <w:pPr>
      <w:pStyle w:val="ECHRHeader"/>
    </w:pPr>
    <w:r w:rsidRPr="009C0C45">
      <w:tab/>
    </w:r>
    <w:r>
      <w:t>BIGUN v. UKRAINE</w:t>
    </w:r>
    <w:r w:rsidRPr="009C0C45">
      <w:t xml:space="preserve"> </w:t>
    </w:r>
    <w:r>
      <w:t>JUDGMENT</w:t>
    </w:r>
    <w:r w:rsidRPr="009C0C45">
      <w:tab/>
    </w:r>
    <w:r>
      <w:rPr>
        <w:rStyle w:val="PageNumber"/>
        <w:szCs w:val="18"/>
      </w:rPr>
      <w:fldChar w:fldCharType="begin"/>
    </w:r>
    <w:r>
      <w:rPr>
        <w:rStyle w:val="PageNumber"/>
        <w:szCs w:val="18"/>
      </w:rPr>
      <w:instrText xml:space="preserve"> PAGE </w:instrText>
    </w:r>
    <w:r>
      <w:rPr>
        <w:rStyle w:val="PageNumber"/>
        <w:szCs w:val="18"/>
      </w:rPr>
      <w:fldChar w:fldCharType="separate"/>
    </w:r>
    <w:r w:rsidR="004D4DD7">
      <w:rPr>
        <w:rStyle w:val="PageNumber"/>
        <w:noProof/>
        <w:szCs w:val="18"/>
      </w:rPr>
      <w:t>11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D14839"/>
    <w:rsid w:val="0000189A"/>
    <w:rsid w:val="00013535"/>
    <w:rsid w:val="000210A0"/>
    <w:rsid w:val="00021183"/>
    <w:rsid w:val="00021D8E"/>
    <w:rsid w:val="000265EF"/>
    <w:rsid w:val="00026B84"/>
    <w:rsid w:val="0003249A"/>
    <w:rsid w:val="00033DF2"/>
    <w:rsid w:val="0007384E"/>
    <w:rsid w:val="000779C9"/>
    <w:rsid w:val="00093EFF"/>
    <w:rsid w:val="000A0775"/>
    <w:rsid w:val="000A7E6B"/>
    <w:rsid w:val="000B294F"/>
    <w:rsid w:val="000C1DC3"/>
    <w:rsid w:val="000C7F21"/>
    <w:rsid w:val="000D0FC8"/>
    <w:rsid w:val="000E444D"/>
    <w:rsid w:val="000E5103"/>
    <w:rsid w:val="000E6DF1"/>
    <w:rsid w:val="0011207E"/>
    <w:rsid w:val="0011368F"/>
    <w:rsid w:val="00132C07"/>
    <w:rsid w:val="00135C94"/>
    <w:rsid w:val="00146F01"/>
    <w:rsid w:val="00152C78"/>
    <w:rsid w:val="00162BE1"/>
    <w:rsid w:val="00170344"/>
    <w:rsid w:val="00171861"/>
    <w:rsid w:val="00181795"/>
    <w:rsid w:val="00192B9B"/>
    <w:rsid w:val="00193CE2"/>
    <w:rsid w:val="00193D00"/>
    <w:rsid w:val="001954B1"/>
    <w:rsid w:val="0019712C"/>
    <w:rsid w:val="001A212A"/>
    <w:rsid w:val="001A7392"/>
    <w:rsid w:val="001C3296"/>
    <w:rsid w:val="001C569D"/>
    <w:rsid w:val="001D19EF"/>
    <w:rsid w:val="001D1A92"/>
    <w:rsid w:val="001D6DD6"/>
    <w:rsid w:val="001D7FD7"/>
    <w:rsid w:val="001E7C4D"/>
    <w:rsid w:val="001F0198"/>
    <w:rsid w:val="001F2032"/>
    <w:rsid w:val="001F484A"/>
    <w:rsid w:val="002141BC"/>
    <w:rsid w:val="00221888"/>
    <w:rsid w:val="0025283D"/>
    <w:rsid w:val="00261C93"/>
    <w:rsid w:val="0026763B"/>
    <w:rsid w:val="002842EC"/>
    <w:rsid w:val="00285775"/>
    <w:rsid w:val="0029554A"/>
    <w:rsid w:val="002C1276"/>
    <w:rsid w:val="002C4CBC"/>
    <w:rsid w:val="002D161E"/>
    <w:rsid w:val="002D72B5"/>
    <w:rsid w:val="002E4F25"/>
    <w:rsid w:val="002E7C01"/>
    <w:rsid w:val="002F031D"/>
    <w:rsid w:val="002F3AFF"/>
    <w:rsid w:val="002F7380"/>
    <w:rsid w:val="002F7A88"/>
    <w:rsid w:val="00301FA3"/>
    <w:rsid w:val="003061C8"/>
    <w:rsid w:val="0032038B"/>
    <w:rsid w:val="00340BDD"/>
    <w:rsid w:val="00342EBC"/>
    <w:rsid w:val="003433C0"/>
    <w:rsid w:val="00354436"/>
    <w:rsid w:val="00362B30"/>
    <w:rsid w:val="00367198"/>
    <w:rsid w:val="003704D4"/>
    <w:rsid w:val="003773B2"/>
    <w:rsid w:val="003813D1"/>
    <w:rsid w:val="003833C2"/>
    <w:rsid w:val="00387946"/>
    <w:rsid w:val="00387F31"/>
    <w:rsid w:val="00390C6A"/>
    <w:rsid w:val="00393868"/>
    <w:rsid w:val="003B17A9"/>
    <w:rsid w:val="003B2A65"/>
    <w:rsid w:val="003C3BC9"/>
    <w:rsid w:val="003C6633"/>
    <w:rsid w:val="003D5F33"/>
    <w:rsid w:val="003F0F78"/>
    <w:rsid w:val="003F23A8"/>
    <w:rsid w:val="0040108A"/>
    <w:rsid w:val="00403E58"/>
    <w:rsid w:val="0041515E"/>
    <w:rsid w:val="00424ABB"/>
    <w:rsid w:val="00434486"/>
    <w:rsid w:val="00435C46"/>
    <w:rsid w:val="004418F6"/>
    <w:rsid w:val="0044229F"/>
    <w:rsid w:val="00443CEE"/>
    <w:rsid w:val="004476AF"/>
    <w:rsid w:val="00486B3E"/>
    <w:rsid w:val="00487574"/>
    <w:rsid w:val="004879C1"/>
    <w:rsid w:val="004905DB"/>
    <w:rsid w:val="00494936"/>
    <w:rsid w:val="00496074"/>
    <w:rsid w:val="004974AB"/>
    <w:rsid w:val="004A4EDB"/>
    <w:rsid w:val="004A6E4D"/>
    <w:rsid w:val="004B4FA4"/>
    <w:rsid w:val="004C1054"/>
    <w:rsid w:val="004D22F6"/>
    <w:rsid w:val="004D3FD5"/>
    <w:rsid w:val="004D4DD7"/>
    <w:rsid w:val="004D653F"/>
    <w:rsid w:val="004F0AF7"/>
    <w:rsid w:val="004F6777"/>
    <w:rsid w:val="00501A1C"/>
    <w:rsid w:val="00503B14"/>
    <w:rsid w:val="005227DB"/>
    <w:rsid w:val="005230DD"/>
    <w:rsid w:val="00523BD8"/>
    <w:rsid w:val="00525185"/>
    <w:rsid w:val="00531DCE"/>
    <w:rsid w:val="00540699"/>
    <w:rsid w:val="00545A88"/>
    <w:rsid w:val="00545FC5"/>
    <w:rsid w:val="00546BC0"/>
    <w:rsid w:val="00554B40"/>
    <w:rsid w:val="00557303"/>
    <w:rsid w:val="005574CB"/>
    <w:rsid w:val="00572108"/>
    <w:rsid w:val="005847D8"/>
    <w:rsid w:val="00586BCF"/>
    <w:rsid w:val="00595821"/>
    <w:rsid w:val="005A14F9"/>
    <w:rsid w:val="005A3F5E"/>
    <w:rsid w:val="005A7557"/>
    <w:rsid w:val="005B26FF"/>
    <w:rsid w:val="005B5005"/>
    <w:rsid w:val="005C2AB1"/>
    <w:rsid w:val="005C49F4"/>
    <w:rsid w:val="005C536E"/>
    <w:rsid w:val="005D4D3A"/>
    <w:rsid w:val="005E2A57"/>
    <w:rsid w:val="005E3892"/>
    <w:rsid w:val="005E5373"/>
    <w:rsid w:val="00604939"/>
    <w:rsid w:val="006073B9"/>
    <w:rsid w:val="00607D39"/>
    <w:rsid w:val="00614D42"/>
    <w:rsid w:val="00616F46"/>
    <w:rsid w:val="00630F58"/>
    <w:rsid w:val="00651177"/>
    <w:rsid w:val="006563E2"/>
    <w:rsid w:val="00661223"/>
    <w:rsid w:val="0066296A"/>
    <w:rsid w:val="006630D9"/>
    <w:rsid w:val="00690B29"/>
    <w:rsid w:val="00692716"/>
    <w:rsid w:val="006A2574"/>
    <w:rsid w:val="006A585A"/>
    <w:rsid w:val="006B1179"/>
    <w:rsid w:val="006B13FE"/>
    <w:rsid w:val="006B489F"/>
    <w:rsid w:val="006B60A7"/>
    <w:rsid w:val="006D1CDE"/>
    <w:rsid w:val="006E05D0"/>
    <w:rsid w:val="006E1852"/>
    <w:rsid w:val="006E7450"/>
    <w:rsid w:val="006F213D"/>
    <w:rsid w:val="006F48A9"/>
    <w:rsid w:val="00701070"/>
    <w:rsid w:val="007044F8"/>
    <w:rsid w:val="00704D3E"/>
    <w:rsid w:val="007322C4"/>
    <w:rsid w:val="00735BC5"/>
    <w:rsid w:val="0074064B"/>
    <w:rsid w:val="00754624"/>
    <w:rsid w:val="00764363"/>
    <w:rsid w:val="007668B6"/>
    <w:rsid w:val="00766A1A"/>
    <w:rsid w:val="0077175D"/>
    <w:rsid w:val="00783A6A"/>
    <w:rsid w:val="00784A68"/>
    <w:rsid w:val="00787443"/>
    <w:rsid w:val="007918C4"/>
    <w:rsid w:val="007B08C3"/>
    <w:rsid w:val="007B37E7"/>
    <w:rsid w:val="007B556F"/>
    <w:rsid w:val="007D60E4"/>
    <w:rsid w:val="007D6659"/>
    <w:rsid w:val="007F0DD6"/>
    <w:rsid w:val="00800560"/>
    <w:rsid w:val="00801240"/>
    <w:rsid w:val="00823CD8"/>
    <w:rsid w:val="008376D0"/>
    <w:rsid w:val="0085761A"/>
    <w:rsid w:val="008600D1"/>
    <w:rsid w:val="00891CD7"/>
    <w:rsid w:val="00891FE0"/>
    <w:rsid w:val="0089351D"/>
    <w:rsid w:val="00896F77"/>
    <w:rsid w:val="008A3CBF"/>
    <w:rsid w:val="008B0ABC"/>
    <w:rsid w:val="008C3534"/>
    <w:rsid w:val="008D2999"/>
    <w:rsid w:val="008D45E0"/>
    <w:rsid w:val="008D5215"/>
    <w:rsid w:val="008D6A69"/>
    <w:rsid w:val="008E6649"/>
    <w:rsid w:val="008F05D5"/>
    <w:rsid w:val="008F5DF0"/>
    <w:rsid w:val="00910544"/>
    <w:rsid w:val="00916074"/>
    <w:rsid w:val="00921609"/>
    <w:rsid w:val="00935EA7"/>
    <w:rsid w:val="00942C75"/>
    <w:rsid w:val="00951165"/>
    <w:rsid w:val="00957742"/>
    <w:rsid w:val="00963417"/>
    <w:rsid w:val="00967E1D"/>
    <w:rsid w:val="00985A32"/>
    <w:rsid w:val="009960D8"/>
    <w:rsid w:val="009977B6"/>
    <w:rsid w:val="009A7479"/>
    <w:rsid w:val="009B020F"/>
    <w:rsid w:val="009B47DF"/>
    <w:rsid w:val="009C0C45"/>
    <w:rsid w:val="009D0808"/>
    <w:rsid w:val="009D1A15"/>
    <w:rsid w:val="009E7FF0"/>
    <w:rsid w:val="00A00B06"/>
    <w:rsid w:val="00A062F4"/>
    <w:rsid w:val="00A145FF"/>
    <w:rsid w:val="00A15C91"/>
    <w:rsid w:val="00A16177"/>
    <w:rsid w:val="00A21FFB"/>
    <w:rsid w:val="00A267E1"/>
    <w:rsid w:val="00A36A26"/>
    <w:rsid w:val="00A44115"/>
    <w:rsid w:val="00A64BB3"/>
    <w:rsid w:val="00A66899"/>
    <w:rsid w:val="00A71029"/>
    <w:rsid w:val="00A84337"/>
    <w:rsid w:val="00A85C85"/>
    <w:rsid w:val="00A95374"/>
    <w:rsid w:val="00AA4614"/>
    <w:rsid w:val="00AB2D02"/>
    <w:rsid w:val="00AF2597"/>
    <w:rsid w:val="00AF348F"/>
    <w:rsid w:val="00AF4F06"/>
    <w:rsid w:val="00AF7842"/>
    <w:rsid w:val="00B10A3B"/>
    <w:rsid w:val="00B119A4"/>
    <w:rsid w:val="00B139F7"/>
    <w:rsid w:val="00B301EA"/>
    <w:rsid w:val="00B436F9"/>
    <w:rsid w:val="00B52269"/>
    <w:rsid w:val="00B530AA"/>
    <w:rsid w:val="00B65288"/>
    <w:rsid w:val="00B709A3"/>
    <w:rsid w:val="00B77CC8"/>
    <w:rsid w:val="00B8482A"/>
    <w:rsid w:val="00BB6E37"/>
    <w:rsid w:val="00BC3CCB"/>
    <w:rsid w:val="00BC4FD1"/>
    <w:rsid w:val="00BC5890"/>
    <w:rsid w:val="00BD4235"/>
    <w:rsid w:val="00BE185F"/>
    <w:rsid w:val="00BE2DC2"/>
    <w:rsid w:val="00BE5628"/>
    <w:rsid w:val="00C12EA2"/>
    <w:rsid w:val="00C16B04"/>
    <w:rsid w:val="00C41131"/>
    <w:rsid w:val="00C43C10"/>
    <w:rsid w:val="00C44208"/>
    <w:rsid w:val="00C55765"/>
    <w:rsid w:val="00C634BB"/>
    <w:rsid w:val="00C66D59"/>
    <w:rsid w:val="00C675F2"/>
    <w:rsid w:val="00C713FB"/>
    <w:rsid w:val="00C7157F"/>
    <w:rsid w:val="00C7319F"/>
    <w:rsid w:val="00C73D1E"/>
    <w:rsid w:val="00C743F7"/>
    <w:rsid w:val="00C74E28"/>
    <w:rsid w:val="00C75CC0"/>
    <w:rsid w:val="00C77199"/>
    <w:rsid w:val="00C81E19"/>
    <w:rsid w:val="00C9305A"/>
    <w:rsid w:val="00CA0118"/>
    <w:rsid w:val="00CA5077"/>
    <w:rsid w:val="00CA5C0B"/>
    <w:rsid w:val="00CA6D70"/>
    <w:rsid w:val="00CB0EC7"/>
    <w:rsid w:val="00CB20C3"/>
    <w:rsid w:val="00CB3AF9"/>
    <w:rsid w:val="00CC3DE3"/>
    <w:rsid w:val="00CC40AD"/>
    <w:rsid w:val="00CD2BED"/>
    <w:rsid w:val="00CD7509"/>
    <w:rsid w:val="00CE0C21"/>
    <w:rsid w:val="00D02491"/>
    <w:rsid w:val="00D10852"/>
    <w:rsid w:val="00D142AD"/>
    <w:rsid w:val="00D14839"/>
    <w:rsid w:val="00D24C4A"/>
    <w:rsid w:val="00D324EF"/>
    <w:rsid w:val="00D3258D"/>
    <w:rsid w:val="00D33C4F"/>
    <w:rsid w:val="00D420F3"/>
    <w:rsid w:val="00D664EA"/>
    <w:rsid w:val="00D77EB1"/>
    <w:rsid w:val="00D800D5"/>
    <w:rsid w:val="00D814B6"/>
    <w:rsid w:val="00D846BD"/>
    <w:rsid w:val="00D8635D"/>
    <w:rsid w:val="00D91A3A"/>
    <w:rsid w:val="00D93EEF"/>
    <w:rsid w:val="00DB0120"/>
    <w:rsid w:val="00DB6F93"/>
    <w:rsid w:val="00DC0E97"/>
    <w:rsid w:val="00DD1D63"/>
    <w:rsid w:val="00DD3B7F"/>
    <w:rsid w:val="00DD4EBD"/>
    <w:rsid w:val="00DE6211"/>
    <w:rsid w:val="00DE6696"/>
    <w:rsid w:val="00DF420A"/>
    <w:rsid w:val="00E03F1D"/>
    <w:rsid w:val="00E0423C"/>
    <w:rsid w:val="00E1701B"/>
    <w:rsid w:val="00E214F3"/>
    <w:rsid w:val="00E33B75"/>
    <w:rsid w:val="00E36A9A"/>
    <w:rsid w:val="00E408B2"/>
    <w:rsid w:val="00E72F07"/>
    <w:rsid w:val="00E82E3F"/>
    <w:rsid w:val="00E87134"/>
    <w:rsid w:val="00E879A2"/>
    <w:rsid w:val="00E917BC"/>
    <w:rsid w:val="00E9415B"/>
    <w:rsid w:val="00E947E9"/>
    <w:rsid w:val="00EA02C2"/>
    <w:rsid w:val="00EA4D70"/>
    <w:rsid w:val="00EA4E14"/>
    <w:rsid w:val="00EB0027"/>
    <w:rsid w:val="00ED163D"/>
    <w:rsid w:val="00ED62B1"/>
    <w:rsid w:val="00EE0C33"/>
    <w:rsid w:val="00EE180D"/>
    <w:rsid w:val="00EE1BE7"/>
    <w:rsid w:val="00EE3DA7"/>
    <w:rsid w:val="00EE45D2"/>
    <w:rsid w:val="00EF3F1D"/>
    <w:rsid w:val="00EF42E6"/>
    <w:rsid w:val="00EF73AA"/>
    <w:rsid w:val="00F00378"/>
    <w:rsid w:val="00F04BF7"/>
    <w:rsid w:val="00F11D8F"/>
    <w:rsid w:val="00F62D54"/>
    <w:rsid w:val="00F7634E"/>
    <w:rsid w:val="00F77A1D"/>
    <w:rsid w:val="00F851EB"/>
    <w:rsid w:val="00F90500"/>
    <w:rsid w:val="00F94570"/>
    <w:rsid w:val="00FA4F8F"/>
    <w:rsid w:val="00FB10A0"/>
    <w:rsid w:val="00FB5444"/>
    <w:rsid w:val="00FB7FFD"/>
    <w:rsid w:val="00FC2668"/>
    <w:rsid w:val="00FD6DA3"/>
    <w:rsid w:val="00FD7C3C"/>
    <w:rsid w:val="00FE0A5C"/>
    <w:rsid w:val="00FE54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C743F7"/>
    <w:pPr>
      <w:jc w:val="both"/>
    </w:pPr>
    <w:rPr>
      <w:rFonts w:eastAsiaTheme="minorEastAsia"/>
      <w:sz w:val="24"/>
      <w:lang w:val="en-GB"/>
    </w:rPr>
  </w:style>
  <w:style w:type="paragraph" w:styleId="Heading1">
    <w:name w:val="heading 1"/>
    <w:basedOn w:val="Normal"/>
    <w:next w:val="Normal"/>
    <w:link w:val="Heading1Char"/>
    <w:uiPriority w:val="99"/>
    <w:semiHidden/>
    <w:rsid w:val="00C743F7"/>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C743F7"/>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C743F7"/>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C743F7"/>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C743F7"/>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C743F7"/>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C743F7"/>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C743F7"/>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C743F7"/>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743F7"/>
    <w:rPr>
      <w:rFonts w:ascii="Tahoma" w:hAnsi="Tahoma" w:cs="Tahoma"/>
      <w:sz w:val="16"/>
      <w:szCs w:val="16"/>
    </w:rPr>
  </w:style>
  <w:style w:type="character" w:customStyle="1" w:styleId="BalloonTextChar">
    <w:name w:val="Balloon Text Char"/>
    <w:basedOn w:val="DefaultParagraphFont"/>
    <w:link w:val="BalloonText"/>
    <w:uiPriority w:val="99"/>
    <w:semiHidden/>
    <w:rsid w:val="00C743F7"/>
    <w:rPr>
      <w:rFonts w:ascii="Tahoma" w:eastAsiaTheme="minorEastAsia" w:hAnsi="Tahoma" w:cs="Tahoma"/>
      <w:sz w:val="16"/>
      <w:szCs w:val="16"/>
      <w:lang w:val="en-GB"/>
    </w:rPr>
  </w:style>
  <w:style w:type="character" w:styleId="BookTitle">
    <w:name w:val="Book Title"/>
    <w:uiPriority w:val="99"/>
    <w:semiHidden/>
    <w:qFormat/>
    <w:rsid w:val="00C743F7"/>
    <w:rPr>
      <w:i/>
      <w:iCs/>
      <w:smallCaps/>
      <w:spacing w:val="5"/>
    </w:rPr>
  </w:style>
  <w:style w:type="paragraph" w:customStyle="1" w:styleId="ECHRHeader">
    <w:name w:val="ECHR_Header"/>
    <w:aliases w:val="Ju_Header"/>
    <w:basedOn w:val="Header"/>
    <w:uiPriority w:val="4"/>
    <w:qFormat/>
    <w:rsid w:val="00C743F7"/>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C743F7"/>
    <w:pPr>
      <w:jc w:val="left"/>
    </w:pPr>
    <w:rPr>
      <w:sz w:val="8"/>
    </w:rPr>
  </w:style>
  <w:style w:type="character" w:styleId="Strong">
    <w:name w:val="Strong"/>
    <w:uiPriority w:val="99"/>
    <w:semiHidden/>
    <w:qFormat/>
    <w:rsid w:val="00C743F7"/>
    <w:rPr>
      <w:b/>
      <w:bCs/>
    </w:rPr>
  </w:style>
  <w:style w:type="paragraph" w:styleId="NoSpacing">
    <w:name w:val="No Spacing"/>
    <w:basedOn w:val="Normal"/>
    <w:link w:val="NoSpacingChar"/>
    <w:semiHidden/>
    <w:qFormat/>
    <w:rsid w:val="00C743F7"/>
    <w:rPr>
      <w:sz w:val="22"/>
      <w:lang w:val="en-US"/>
    </w:rPr>
  </w:style>
  <w:style w:type="character" w:customStyle="1" w:styleId="NoSpacingChar">
    <w:name w:val="No Spacing Char"/>
    <w:basedOn w:val="DefaultParagraphFont"/>
    <w:link w:val="NoSpacing"/>
    <w:semiHidden/>
    <w:rsid w:val="00C743F7"/>
    <w:rPr>
      <w:rFonts w:eastAsiaTheme="minorEastAsia"/>
    </w:rPr>
  </w:style>
  <w:style w:type="paragraph" w:customStyle="1" w:styleId="ECHRFooterLine">
    <w:name w:val="ECHR_Footer_Line"/>
    <w:aliases w:val="Footer_Line"/>
    <w:basedOn w:val="Normal"/>
    <w:next w:val="ECHRFooter"/>
    <w:uiPriority w:val="57"/>
    <w:semiHidden/>
    <w:rsid w:val="00C743F7"/>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C743F7"/>
  </w:style>
  <w:style w:type="paragraph" w:customStyle="1" w:styleId="DecList">
    <w:name w:val="Dec_List"/>
    <w:basedOn w:val="Normal"/>
    <w:uiPriority w:val="9"/>
    <w:semiHidden/>
    <w:qFormat/>
    <w:rsid w:val="00C743F7"/>
    <w:pPr>
      <w:spacing w:before="240"/>
      <w:ind w:left="284"/>
    </w:pPr>
  </w:style>
  <w:style w:type="paragraph" w:customStyle="1" w:styleId="DummyStyle">
    <w:name w:val="Dummy_Style"/>
    <w:basedOn w:val="Normal"/>
    <w:semiHidden/>
    <w:qFormat/>
    <w:rsid w:val="00C743F7"/>
    <w:rPr>
      <w:color w:val="00B050"/>
    </w:rPr>
  </w:style>
  <w:style w:type="paragraph" w:customStyle="1" w:styleId="ECHRTitleCentre3">
    <w:name w:val="ECHR_Title_Centre_3"/>
    <w:aliases w:val="Ju_H_Article"/>
    <w:basedOn w:val="Normal"/>
    <w:next w:val="ECHRParaQuote"/>
    <w:uiPriority w:val="27"/>
    <w:qFormat/>
    <w:rsid w:val="00C743F7"/>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C743F7"/>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C743F7"/>
    <w:pPr>
      <w:numPr>
        <w:numId w:val="20"/>
      </w:numPr>
      <w:jc w:val="left"/>
    </w:pPr>
    <w:rPr>
      <w:b/>
    </w:rPr>
  </w:style>
  <w:style w:type="paragraph" w:customStyle="1" w:styleId="JuCourt">
    <w:name w:val="Ju_Court"/>
    <w:basedOn w:val="Normal"/>
    <w:next w:val="Normal"/>
    <w:uiPriority w:val="16"/>
    <w:qFormat/>
    <w:rsid w:val="00C743F7"/>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C743F7"/>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C743F7"/>
    <w:pPr>
      <w:spacing w:after="240"/>
      <w:jc w:val="center"/>
      <w:outlineLvl w:val="0"/>
    </w:pPr>
    <w:rPr>
      <w:rFonts w:asciiTheme="majorHAnsi" w:hAnsiTheme="majorHAnsi"/>
    </w:rPr>
  </w:style>
  <w:style w:type="character" w:customStyle="1" w:styleId="JUNAMES">
    <w:name w:val="JU_NAMES"/>
    <w:uiPriority w:val="17"/>
    <w:qFormat/>
    <w:rsid w:val="00C743F7"/>
    <w:rPr>
      <w:caps w:val="0"/>
      <w:smallCaps/>
    </w:rPr>
  </w:style>
  <w:style w:type="paragraph" w:styleId="Title">
    <w:name w:val="Title"/>
    <w:basedOn w:val="Normal"/>
    <w:next w:val="Normal"/>
    <w:link w:val="TitleChar"/>
    <w:uiPriority w:val="99"/>
    <w:semiHidden/>
    <w:qFormat/>
    <w:rsid w:val="00C743F7"/>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C743F7"/>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link w:val="JuH1Char"/>
    <w:uiPriority w:val="21"/>
    <w:qFormat/>
    <w:rsid w:val="00C743F7"/>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link w:val="JuHaChar"/>
    <w:uiPriority w:val="22"/>
    <w:qFormat/>
    <w:rsid w:val="00C743F7"/>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C743F7"/>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C743F7"/>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C743F7"/>
    <w:pPr>
      <w:keepNext/>
      <w:keepLines/>
      <w:spacing w:before="240" w:after="120"/>
      <w:ind w:left="1236"/>
    </w:pPr>
    <w:rPr>
      <w:sz w:val="20"/>
      <w:lang w:val="en-GB"/>
    </w:rPr>
  </w:style>
  <w:style w:type="paragraph" w:customStyle="1" w:styleId="JuParaSub">
    <w:name w:val="Ju_Para_Sub"/>
    <w:basedOn w:val="ECHRPara"/>
    <w:uiPriority w:val="13"/>
    <w:qFormat/>
    <w:rsid w:val="00C743F7"/>
    <w:pPr>
      <w:ind w:left="284"/>
    </w:pPr>
  </w:style>
  <w:style w:type="paragraph" w:customStyle="1" w:styleId="JuQuotSub">
    <w:name w:val="Ju_Quot_Sub"/>
    <w:basedOn w:val="ECHRParaQuote"/>
    <w:uiPriority w:val="15"/>
    <w:qFormat/>
    <w:rsid w:val="00C743F7"/>
    <w:pPr>
      <w:ind w:left="567"/>
    </w:pPr>
  </w:style>
  <w:style w:type="paragraph" w:customStyle="1" w:styleId="JuTitle">
    <w:name w:val="Ju_Title"/>
    <w:basedOn w:val="Normal"/>
    <w:next w:val="ECHRPara"/>
    <w:uiPriority w:val="3"/>
    <w:semiHidden/>
    <w:qFormat/>
    <w:rsid w:val="00C743F7"/>
    <w:pPr>
      <w:spacing w:before="720" w:after="240"/>
      <w:jc w:val="center"/>
      <w:outlineLvl w:val="0"/>
    </w:pPr>
    <w:rPr>
      <w:rFonts w:asciiTheme="majorHAnsi" w:hAnsiTheme="majorHAnsi"/>
      <w:b/>
      <w:caps/>
    </w:rPr>
  </w:style>
  <w:style w:type="paragraph" w:styleId="Header">
    <w:name w:val="header"/>
    <w:basedOn w:val="Normal"/>
    <w:link w:val="HeaderChar"/>
    <w:uiPriority w:val="57"/>
    <w:semiHidden/>
    <w:rsid w:val="00C743F7"/>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C743F7"/>
    <w:rPr>
      <w:sz w:val="24"/>
      <w:lang w:val="en-GB"/>
    </w:rPr>
  </w:style>
  <w:style w:type="character" w:customStyle="1" w:styleId="Heading1Char">
    <w:name w:val="Heading 1 Char"/>
    <w:basedOn w:val="DefaultParagraphFont"/>
    <w:link w:val="Heading1"/>
    <w:uiPriority w:val="99"/>
    <w:semiHidden/>
    <w:rsid w:val="00C743F7"/>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link w:val="JuHIRomanChar"/>
    <w:uiPriority w:val="19"/>
    <w:qFormat/>
    <w:rsid w:val="00C743F7"/>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C743F7"/>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C743F7"/>
    <w:rPr>
      <w:rFonts w:asciiTheme="majorHAnsi" w:eastAsiaTheme="majorEastAsia" w:hAnsiTheme="majorHAnsi" w:cstheme="majorBidi"/>
      <w:b/>
      <w:bCs/>
      <w:color w:val="4D4D4D"/>
      <w:sz w:val="26"/>
      <w:szCs w:val="26"/>
      <w:lang w:val="en-GB"/>
    </w:rPr>
  </w:style>
  <w:style w:type="paragraph" w:customStyle="1" w:styleId="OpiH1">
    <w:name w:val="Opi_H_1"/>
    <w:basedOn w:val="ECHRHeading2"/>
    <w:uiPriority w:val="42"/>
    <w:qFormat/>
    <w:rsid w:val="00C743F7"/>
    <w:pPr>
      <w:ind w:left="635" w:hanging="357"/>
      <w:outlineLvl w:val="2"/>
    </w:pPr>
  </w:style>
  <w:style w:type="paragraph" w:customStyle="1" w:styleId="JuCase">
    <w:name w:val="Ju_Case"/>
    <w:basedOn w:val="Normal"/>
    <w:next w:val="ECHRPara"/>
    <w:uiPriority w:val="10"/>
    <w:rsid w:val="00C743F7"/>
    <w:pPr>
      <w:ind w:firstLine="284"/>
    </w:pPr>
    <w:rPr>
      <w:b/>
    </w:rPr>
  </w:style>
  <w:style w:type="character" w:customStyle="1" w:styleId="Heading3Char">
    <w:name w:val="Heading 3 Char"/>
    <w:basedOn w:val="DefaultParagraphFont"/>
    <w:link w:val="Heading3"/>
    <w:uiPriority w:val="99"/>
    <w:semiHidden/>
    <w:rsid w:val="00C743F7"/>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C743F7"/>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C743F7"/>
    <w:rPr>
      <w:rFonts w:asciiTheme="majorHAnsi" w:eastAsiaTheme="majorEastAsia" w:hAnsiTheme="majorHAnsi" w:cstheme="majorBidi"/>
      <w:b/>
      <w:bCs/>
      <w:color w:val="808080"/>
    </w:rPr>
  </w:style>
  <w:style w:type="character" w:styleId="SubtleEmphasis">
    <w:name w:val="Subtle Emphasis"/>
    <w:uiPriority w:val="99"/>
    <w:semiHidden/>
    <w:qFormat/>
    <w:rsid w:val="00C743F7"/>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C743F7"/>
    <w:pPr>
      <w:keepNext/>
      <w:keepLines/>
      <w:spacing w:before="720" w:after="240"/>
      <w:outlineLvl w:val="0"/>
    </w:pPr>
    <w:rPr>
      <w:rFonts w:asciiTheme="majorHAnsi" w:hAnsiTheme="majorHAnsi"/>
      <w:sz w:val="28"/>
    </w:rPr>
  </w:style>
  <w:style w:type="character" w:styleId="Emphasis">
    <w:name w:val="Emphasis"/>
    <w:uiPriority w:val="99"/>
    <w:semiHidden/>
    <w:qFormat/>
    <w:rsid w:val="00C743F7"/>
    <w:rPr>
      <w:b/>
      <w:bCs/>
      <w:i/>
      <w:iCs/>
      <w:spacing w:val="10"/>
      <w:bdr w:val="none" w:sz="0" w:space="0" w:color="auto"/>
      <w:shd w:val="clear" w:color="auto" w:fill="auto"/>
    </w:rPr>
  </w:style>
  <w:style w:type="paragraph" w:styleId="Footer">
    <w:name w:val="footer"/>
    <w:basedOn w:val="Normal"/>
    <w:link w:val="FooterChar"/>
    <w:uiPriority w:val="57"/>
    <w:semiHidden/>
    <w:rsid w:val="00C743F7"/>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C743F7"/>
    <w:rPr>
      <w:sz w:val="24"/>
      <w:lang w:val="en-GB"/>
    </w:rPr>
  </w:style>
  <w:style w:type="character" w:styleId="FootnoteReference">
    <w:name w:val="footnote reference"/>
    <w:basedOn w:val="DefaultParagraphFont"/>
    <w:uiPriority w:val="99"/>
    <w:semiHidden/>
    <w:rsid w:val="00C743F7"/>
    <w:rPr>
      <w:vertAlign w:val="superscript"/>
    </w:rPr>
  </w:style>
  <w:style w:type="paragraph" w:styleId="FootnoteText">
    <w:name w:val="footnote text"/>
    <w:basedOn w:val="Normal"/>
    <w:link w:val="FootnoteTextChar"/>
    <w:uiPriority w:val="99"/>
    <w:semiHidden/>
    <w:rsid w:val="00C743F7"/>
    <w:rPr>
      <w:sz w:val="20"/>
      <w:szCs w:val="20"/>
    </w:rPr>
  </w:style>
  <w:style w:type="character" w:customStyle="1" w:styleId="FootnoteTextChar">
    <w:name w:val="Footnote Text Char"/>
    <w:basedOn w:val="DefaultParagraphFont"/>
    <w:link w:val="FootnoteText"/>
    <w:uiPriority w:val="99"/>
    <w:semiHidden/>
    <w:rsid w:val="00C743F7"/>
    <w:rPr>
      <w:rFonts w:eastAsiaTheme="minorEastAsia"/>
      <w:sz w:val="20"/>
      <w:szCs w:val="20"/>
      <w:lang w:val="en-GB"/>
    </w:rPr>
  </w:style>
  <w:style w:type="character" w:customStyle="1" w:styleId="Heading6Char">
    <w:name w:val="Heading 6 Char"/>
    <w:basedOn w:val="DefaultParagraphFont"/>
    <w:link w:val="Heading6"/>
    <w:uiPriority w:val="99"/>
    <w:semiHidden/>
    <w:rsid w:val="00C743F7"/>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C743F7"/>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C743F7"/>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C743F7"/>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C743F7"/>
    <w:rPr>
      <w:color w:val="0072BC" w:themeColor="hyperlink"/>
      <w:u w:val="single"/>
    </w:rPr>
  </w:style>
  <w:style w:type="character" w:styleId="IntenseEmphasis">
    <w:name w:val="Intense Emphasis"/>
    <w:uiPriority w:val="99"/>
    <w:semiHidden/>
    <w:qFormat/>
    <w:rsid w:val="00C743F7"/>
    <w:rPr>
      <w:b/>
      <w:bCs/>
    </w:rPr>
  </w:style>
  <w:style w:type="paragraph" w:styleId="IntenseQuote">
    <w:name w:val="Intense Quote"/>
    <w:basedOn w:val="Normal"/>
    <w:next w:val="Normal"/>
    <w:link w:val="IntenseQuoteChar"/>
    <w:uiPriority w:val="99"/>
    <w:semiHidden/>
    <w:qFormat/>
    <w:rsid w:val="00C743F7"/>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C743F7"/>
    <w:rPr>
      <w:rFonts w:eastAsiaTheme="minorEastAsia"/>
      <w:b/>
      <w:bCs/>
      <w:i/>
      <w:iCs/>
      <w:lang w:bidi="en-US"/>
    </w:rPr>
  </w:style>
  <w:style w:type="character" w:styleId="IntenseReference">
    <w:name w:val="Intense Reference"/>
    <w:uiPriority w:val="99"/>
    <w:semiHidden/>
    <w:qFormat/>
    <w:rsid w:val="00C743F7"/>
    <w:rPr>
      <w:smallCaps/>
      <w:spacing w:val="5"/>
      <w:u w:val="single"/>
    </w:rPr>
  </w:style>
  <w:style w:type="paragraph" w:styleId="ListParagraph">
    <w:name w:val="List Paragraph"/>
    <w:basedOn w:val="Normal"/>
    <w:uiPriority w:val="99"/>
    <w:semiHidden/>
    <w:qFormat/>
    <w:rsid w:val="00C743F7"/>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C743F7"/>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C743F7"/>
    <w:rPr>
      <w:rFonts w:eastAsiaTheme="minorEastAsia"/>
      <w:i/>
      <w:iCs/>
      <w:lang w:bidi="en-US"/>
    </w:rPr>
  </w:style>
  <w:style w:type="character" w:styleId="SubtleReference">
    <w:name w:val="Subtle Reference"/>
    <w:uiPriority w:val="99"/>
    <w:semiHidden/>
    <w:qFormat/>
    <w:rsid w:val="00C743F7"/>
    <w:rPr>
      <w:smallCaps/>
    </w:rPr>
  </w:style>
  <w:style w:type="table" w:styleId="TableGrid">
    <w:name w:val="Table Grid"/>
    <w:basedOn w:val="TableNormal"/>
    <w:uiPriority w:val="59"/>
    <w:semiHidden/>
    <w:rsid w:val="00C743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C743F7"/>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C743F7"/>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C743F7"/>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C743F7"/>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C743F7"/>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C743F7"/>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C743F7"/>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C743F7"/>
    <w:pPr>
      <w:spacing w:before="120" w:after="120"/>
      <w:ind w:left="425" w:firstLine="142"/>
    </w:pPr>
    <w:rPr>
      <w:sz w:val="20"/>
    </w:rPr>
  </w:style>
  <w:style w:type="paragraph" w:customStyle="1" w:styleId="ECHRPara">
    <w:name w:val="ECHR_Para"/>
    <w:aliases w:val="Ju_Para"/>
    <w:basedOn w:val="Normal"/>
    <w:link w:val="ECHRParaChar"/>
    <w:uiPriority w:val="12"/>
    <w:qFormat/>
    <w:rsid w:val="00C743F7"/>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C743F7"/>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C743F7"/>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C743F7"/>
    <w:pPr>
      <w:ind w:left="340" w:hanging="340"/>
    </w:pPr>
  </w:style>
  <w:style w:type="paragraph" w:customStyle="1" w:styleId="JuSigned">
    <w:name w:val="Ju_Signed"/>
    <w:basedOn w:val="Normal"/>
    <w:next w:val="JuParaLast"/>
    <w:uiPriority w:val="32"/>
    <w:qFormat/>
    <w:rsid w:val="00C743F7"/>
    <w:pPr>
      <w:tabs>
        <w:tab w:val="center" w:pos="851"/>
        <w:tab w:val="center" w:pos="6407"/>
      </w:tabs>
      <w:spacing w:before="720"/>
      <w:jc w:val="left"/>
    </w:pPr>
  </w:style>
  <w:style w:type="paragraph" w:customStyle="1" w:styleId="JuParaLast">
    <w:name w:val="Ju_Para_Last"/>
    <w:basedOn w:val="Normal"/>
    <w:next w:val="ECHRPara"/>
    <w:uiPriority w:val="30"/>
    <w:qFormat/>
    <w:rsid w:val="00C743F7"/>
    <w:pPr>
      <w:keepNext/>
      <w:keepLines/>
      <w:spacing w:before="240"/>
      <w:ind w:firstLine="284"/>
    </w:pPr>
  </w:style>
  <w:style w:type="paragraph" w:customStyle="1" w:styleId="OpiHa">
    <w:name w:val="Opi_H_a"/>
    <w:basedOn w:val="ECHRHeading3"/>
    <w:uiPriority w:val="43"/>
    <w:qFormat/>
    <w:rsid w:val="00C743F7"/>
    <w:pPr>
      <w:ind w:left="833" w:hanging="357"/>
      <w:outlineLvl w:val="3"/>
    </w:pPr>
    <w:rPr>
      <w:b/>
      <w:i w:val="0"/>
      <w:sz w:val="20"/>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C743F7"/>
    <w:pPr>
      <w:ind w:left="346" w:firstLine="0"/>
    </w:pPr>
  </w:style>
  <w:style w:type="paragraph" w:customStyle="1" w:styleId="JuListi">
    <w:name w:val="Ju_List_i"/>
    <w:basedOn w:val="Normal"/>
    <w:next w:val="JuLista"/>
    <w:uiPriority w:val="28"/>
    <w:qFormat/>
    <w:rsid w:val="00C743F7"/>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C743F7"/>
    <w:rPr>
      <w:vertAlign w:val="superscript"/>
    </w:rPr>
  </w:style>
  <w:style w:type="paragraph" w:styleId="EndnoteText">
    <w:name w:val="endnote text"/>
    <w:basedOn w:val="Normal"/>
    <w:link w:val="EndnoteTextChar"/>
    <w:uiPriority w:val="99"/>
    <w:semiHidden/>
    <w:rsid w:val="00C743F7"/>
    <w:rPr>
      <w:sz w:val="20"/>
      <w:szCs w:val="20"/>
    </w:rPr>
  </w:style>
  <w:style w:type="character" w:customStyle="1" w:styleId="EndnoteTextChar">
    <w:name w:val="Endnote Text Char"/>
    <w:basedOn w:val="DefaultParagraphFont"/>
    <w:link w:val="EndnoteText"/>
    <w:uiPriority w:val="99"/>
    <w:semiHidden/>
    <w:rsid w:val="00C743F7"/>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C743F7"/>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C743F7"/>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C743F7"/>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C743F7"/>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i">
    <w:name w:val="Opi_H_i"/>
    <w:basedOn w:val="ECHRHeading4"/>
    <w:uiPriority w:val="44"/>
    <w:qFormat/>
    <w:rsid w:val="00C743F7"/>
    <w:pPr>
      <w:ind w:left="1037" w:hanging="357"/>
      <w:outlineLvl w:val="4"/>
    </w:pPr>
    <w:rPr>
      <w:b w:val="0"/>
      <w:i/>
    </w:rPr>
  </w:style>
  <w:style w:type="paragraph" w:customStyle="1" w:styleId="OpiPara">
    <w:name w:val="Opi_Para"/>
    <w:basedOn w:val="ECHRPara"/>
    <w:uiPriority w:val="46"/>
    <w:qFormat/>
    <w:rsid w:val="00C743F7"/>
  </w:style>
  <w:style w:type="character" w:styleId="PlaceholderText">
    <w:name w:val="Placeholder Text"/>
    <w:basedOn w:val="DefaultParagraphFont"/>
    <w:uiPriority w:val="99"/>
    <w:semiHidden/>
    <w:rsid w:val="00C743F7"/>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C743F7"/>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C743F7"/>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Sub">
    <w:name w:val="Opi_Para_Sub"/>
    <w:basedOn w:val="JuParaSub"/>
    <w:uiPriority w:val="47"/>
    <w:qFormat/>
    <w:rsid w:val="00C743F7"/>
  </w:style>
  <w:style w:type="paragraph" w:customStyle="1" w:styleId="OpiQuot">
    <w:name w:val="Opi_Quot"/>
    <w:basedOn w:val="ECHRParaQuote"/>
    <w:uiPriority w:val="48"/>
    <w:qFormat/>
    <w:rsid w:val="00C743F7"/>
  </w:style>
  <w:style w:type="paragraph" w:customStyle="1" w:styleId="OpiQuotSub">
    <w:name w:val="Opi_Quot_Sub"/>
    <w:basedOn w:val="JuQuotSub"/>
    <w:uiPriority w:val="49"/>
    <w:qFormat/>
    <w:rsid w:val="00C743F7"/>
  </w:style>
  <w:style w:type="paragraph" w:customStyle="1" w:styleId="OpiTranslation">
    <w:name w:val="Opi_Translation"/>
    <w:basedOn w:val="Normal"/>
    <w:next w:val="OpiPara"/>
    <w:uiPriority w:val="40"/>
    <w:qFormat/>
    <w:rsid w:val="00C743F7"/>
    <w:pPr>
      <w:jc w:val="center"/>
      <w:outlineLvl w:val="0"/>
    </w:pPr>
    <w:rPr>
      <w:i/>
    </w:rPr>
  </w:style>
  <w:style w:type="paragraph" w:styleId="NoteHeading">
    <w:name w:val="Note Heading"/>
    <w:basedOn w:val="Normal"/>
    <w:next w:val="Normal"/>
    <w:link w:val="NoteHeadingChar"/>
    <w:uiPriority w:val="99"/>
    <w:semiHidden/>
    <w:rsid w:val="0044229F"/>
  </w:style>
  <w:style w:type="character" w:customStyle="1" w:styleId="NoteHeadingChar">
    <w:name w:val="Note Heading Char"/>
    <w:basedOn w:val="DefaultParagraphFont"/>
    <w:link w:val="NoteHeading"/>
    <w:uiPriority w:val="99"/>
    <w:semiHidden/>
    <w:rsid w:val="0044229F"/>
    <w:rPr>
      <w:rFonts w:eastAsiaTheme="minorEastAsia"/>
      <w:sz w:val="24"/>
      <w:lang w:val="en-GB"/>
    </w:rPr>
  </w:style>
  <w:style w:type="paragraph" w:customStyle="1" w:styleId="JuHeaderLandscape">
    <w:name w:val="Ju_Header_Landscape"/>
    <w:basedOn w:val="ECHRHeader"/>
    <w:uiPriority w:val="4"/>
    <w:qFormat/>
    <w:rsid w:val="00C743F7"/>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A15C91"/>
    <w:rPr>
      <w:rFonts w:eastAsiaTheme="minorEastAsia"/>
      <w:sz w:val="24"/>
      <w:lang w:val="en-GB"/>
    </w:rPr>
  </w:style>
  <w:style w:type="character" w:customStyle="1" w:styleId="JuH1Char">
    <w:name w:val="Ju_H_1. Char"/>
    <w:basedOn w:val="DefaultParagraphFont"/>
    <w:link w:val="ECHRHeading3"/>
    <w:uiPriority w:val="21"/>
    <w:rsid w:val="00EE180D"/>
    <w:rPr>
      <w:rFonts w:asciiTheme="majorHAnsi" w:eastAsiaTheme="majorEastAsia" w:hAnsiTheme="majorHAnsi" w:cstheme="majorBidi"/>
      <w:bCs/>
      <w:i/>
      <w:sz w:val="24"/>
      <w:lang w:val="en-GB"/>
    </w:rPr>
  </w:style>
  <w:style w:type="character" w:customStyle="1" w:styleId="JuHaChar">
    <w:name w:val="Ju_H_a Char"/>
    <w:basedOn w:val="DefaultParagraphFont"/>
    <w:link w:val="ECHRHeading4"/>
    <w:uiPriority w:val="22"/>
    <w:locked/>
    <w:rsid w:val="007B08C3"/>
    <w:rPr>
      <w:rFonts w:asciiTheme="majorHAnsi" w:eastAsiaTheme="majorEastAsia" w:hAnsiTheme="majorHAnsi" w:cstheme="majorBidi"/>
      <w:b/>
      <w:bCs/>
      <w:iCs/>
      <w:sz w:val="20"/>
      <w:lang w:val="en-GB"/>
    </w:rPr>
  </w:style>
  <w:style w:type="character" w:customStyle="1" w:styleId="JuHIRomanChar">
    <w:name w:val="Ju_H_I_Roman Char"/>
    <w:link w:val="ECHRHeading1"/>
    <w:uiPriority w:val="19"/>
    <w:rsid w:val="00D664EA"/>
    <w:rPr>
      <w:rFonts w:asciiTheme="majorHAnsi" w:eastAsiaTheme="majorEastAsia" w:hAnsiTheme="majorHAnsi" w:cstheme="majorBidi"/>
      <w:b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02756">
      <w:bodyDiv w:val="1"/>
      <w:marLeft w:val="0"/>
      <w:marRight w:val="0"/>
      <w:marTop w:val="0"/>
      <w:marBottom w:val="0"/>
      <w:divBdr>
        <w:top w:val="none" w:sz="0" w:space="0" w:color="auto"/>
        <w:left w:val="none" w:sz="0" w:space="0" w:color="auto"/>
        <w:bottom w:val="none" w:sz="0" w:space="0" w:color="auto"/>
        <w:right w:val="none" w:sz="0" w:space="0" w:color="auto"/>
      </w:divBdr>
      <w:divsChild>
        <w:div w:id="1948661097">
          <w:marLeft w:val="0"/>
          <w:marRight w:val="0"/>
          <w:marTop w:val="0"/>
          <w:marBottom w:val="0"/>
          <w:divBdr>
            <w:top w:val="none" w:sz="0" w:space="0" w:color="auto"/>
            <w:left w:val="none" w:sz="0" w:space="0" w:color="auto"/>
            <w:bottom w:val="none" w:sz="0" w:space="0" w:color="auto"/>
            <w:right w:val="none" w:sz="0" w:space="0" w:color="auto"/>
          </w:divBdr>
          <w:divsChild>
            <w:div w:id="1909413764">
              <w:marLeft w:val="0"/>
              <w:marRight w:val="0"/>
              <w:marTop w:val="0"/>
              <w:marBottom w:val="0"/>
              <w:divBdr>
                <w:top w:val="none" w:sz="0" w:space="0" w:color="auto"/>
                <w:left w:val="none" w:sz="0" w:space="0" w:color="auto"/>
                <w:bottom w:val="none" w:sz="0" w:space="0" w:color="auto"/>
                <w:right w:val="none" w:sz="0" w:space="0" w:color="auto"/>
              </w:divBdr>
              <w:divsChild>
                <w:div w:id="471947553">
                  <w:marLeft w:val="0"/>
                  <w:marRight w:val="0"/>
                  <w:marTop w:val="0"/>
                  <w:marBottom w:val="0"/>
                  <w:divBdr>
                    <w:top w:val="none" w:sz="0" w:space="0" w:color="auto"/>
                    <w:left w:val="none" w:sz="0" w:space="0" w:color="auto"/>
                    <w:bottom w:val="none" w:sz="0" w:space="0" w:color="auto"/>
                    <w:right w:val="none" w:sz="0" w:space="0" w:color="auto"/>
                  </w:divBdr>
                  <w:divsChild>
                    <w:div w:id="1301378387">
                      <w:marLeft w:val="0"/>
                      <w:marRight w:val="0"/>
                      <w:marTop w:val="0"/>
                      <w:marBottom w:val="0"/>
                      <w:divBdr>
                        <w:top w:val="none" w:sz="0" w:space="0" w:color="auto"/>
                        <w:left w:val="none" w:sz="0" w:space="0" w:color="auto"/>
                        <w:bottom w:val="none" w:sz="0" w:space="0" w:color="auto"/>
                        <w:right w:val="none" w:sz="0" w:space="0" w:color="auto"/>
                      </w:divBdr>
                      <w:divsChild>
                        <w:div w:id="1192181074">
                          <w:marLeft w:val="0"/>
                          <w:marRight w:val="0"/>
                          <w:marTop w:val="0"/>
                          <w:marBottom w:val="0"/>
                          <w:divBdr>
                            <w:top w:val="none" w:sz="0" w:space="0" w:color="auto"/>
                            <w:left w:val="none" w:sz="0" w:space="0" w:color="auto"/>
                            <w:bottom w:val="none" w:sz="0" w:space="0" w:color="auto"/>
                            <w:right w:val="none" w:sz="0" w:space="0" w:color="auto"/>
                          </w:divBdr>
                        </w:div>
                        <w:div w:id="1383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025732">
      <w:bodyDiv w:val="1"/>
      <w:marLeft w:val="0"/>
      <w:marRight w:val="0"/>
      <w:marTop w:val="0"/>
      <w:marBottom w:val="0"/>
      <w:divBdr>
        <w:top w:val="none" w:sz="0" w:space="0" w:color="auto"/>
        <w:left w:val="none" w:sz="0" w:space="0" w:color="auto"/>
        <w:bottom w:val="none" w:sz="0" w:space="0" w:color="auto"/>
        <w:right w:val="none" w:sz="0" w:space="0" w:color="auto"/>
      </w:divBdr>
      <w:divsChild>
        <w:div w:id="1756704244">
          <w:marLeft w:val="0"/>
          <w:marRight w:val="0"/>
          <w:marTop w:val="0"/>
          <w:marBottom w:val="0"/>
          <w:divBdr>
            <w:top w:val="none" w:sz="0" w:space="0" w:color="auto"/>
            <w:left w:val="none" w:sz="0" w:space="0" w:color="auto"/>
            <w:bottom w:val="none" w:sz="0" w:space="0" w:color="auto"/>
            <w:right w:val="none" w:sz="0" w:space="0" w:color="auto"/>
          </w:divBdr>
          <w:divsChild>
            <w:div w:id="1080716131">
              <w:marLeft w:val="0"/>
              <w:marRight w:val="0"/>
              <w:marTop w:val="0"/>
              <w:marBottom w:val="0"/>
              <w:divBdr>
                <w:top w:val="none" w:sz="0" w:space="0" w:color="auto"/>
                <w:left w:val="none" w:sz="0" w:space="0" w:color="auto"/>
                <w:bottom w:val="none" w:sz="0" w:space="0" w:color="auto"/>
                <w:right w:val="none" w:sz="0" w:space="0" w:color="auto"/>
              </w:divBdr>
              <w:divsChild>
                <w:div w:id="1507749627">
                  <w:marLeft w:val="0"/>
                  <w:marRight w:val="0"/>
                  <w:marTop w:val="0"/>
                  <w:marBottom w:val="0"/>
                  <w:divBdr>
                    <w:top w:val="none" w:sz="0" w:space="0" w:color="auto"/>
                    <w:left w:val="none" w:sz="0" w:space="0" w:color="auto"/>
                    <w:bottom w:val="none" w:sz="0" w:space="0" w:color="auto"/>
                    <w:right w:val="none" w:sz="0" w:space="0" w:color="auto"/>
                  </w:divBdr>
                  <w:divsChild>
                    <w:div w:id="855652014">
                      <w:marLeft w:val="0"/>
                      <w:marRight w:val="0"/>
                      <w:marTop w:val="0"/>
                      <w:marBottom w:val="0"/>
                      <w:divBdr>
                        <w:top w:val="none" w:sz="0" w:space="0" w:color="auto"/>
                        <w:left w:val="none" w:sz="0" w:space="0" w:color="auto"/>
                        <w:bottom w:val="none" w:sz="0" w:space="0" w:color="auto"/>
                        <w:right w:val="none" w:sz="0" w:space="0" w:color="auto"/>
                      </w:divBdr>
                      <w:divsChild>
                        <w:div w:id="1164124707">
                          <w:marLeft w:val="0"/>
                          <w:marRight w:val="0"/>
                          <w:marTop w:val="0"/>
                          <w:marBottom w:val="0"/>
                          <w:divBdr>
                            <w:top w:val="none" w:sz="0" w:space="0" w:color="auto"/>
                            <w:left w:val="none" w:sz="0" w:space="0" w:color="auto"/>
                            <w:bottom w:val="none" w:sz="0" w:space="0" w:color="auto"/>
                            <w:right w:val="none" w:sz="0" w:space="0" w:color="auto"/>
                          </w:divBdr>
                          <w:divsChild>
                            <w:div w:id="131078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864399">
      <w:bodyDiv w:val="1"/>
      <w:marLeft w:val="0"/>
      <w:marRight w:val="0"/>
      <w:marTop w:val="0"/>
      <w:marBottom w:val="0"/>
      <w:divBdr>
        <w:top w:val="none" w:sz="0" w:space="0" w:color="auto"/>
        <w:left w:val="none" w:sz="0" w:space="0" w:color="auto"/>
        <w:bottom w:val="none" w:sz="0" w:space="0" w:color="auto"/>
        <w:right w:val="none" w:sz="0" w:space="0" w:color="auto"/>
      </w:divBdr>
      <w:divsChild>
        <w:div w:id="136653934">
          <w:marLeft w:val="0"/>
          <w:marRight w:val="0"/>
          <w:marTop w:val="0"/>
          <w:marBottom w:val="0"/>
          <w:divBdr>
            <w:top w:val="none" w:sz="0" w:space="0" w:color="auto"/>
            <w:left w:val="none" w:sz="0" w:space="0" w:color="auto"/>
            <w:bottom w:val="none" w:sz="0" w:space="0" w:color="auto"/>
            <w:right w:val="none" w:sz="0" w:space="0" w:color="auto"/>
          </w:divBdr>
          <w:divsChild>
            <w:div w:id="738361033">
              <w:marLeft w:val="0"/>
              <w:marRight w:val="0"/>
              <w:marTop w:val="0"/>
              <w:marBottom w:val="0"/>
              <w:divBdr>
                <w:top w:val="none" w:sz="0" w:space="0" w:color="auto"/>
                <w:left w:val="none" w:sz="0" w:space="0" w:color="auto"/>
                <w:bottom w:val="none" w:sz="0" w:space="0" w:color="auto"/>
                <w:right w:val="none" w:sz="0" w:space="0" w:color="auto"/>
              </w:divBdr>
              <w:divsChild>
                <w:div w:id="100147564">
                  <w:marLeft w:val="0"/>
                  <w:marRight w:val="0"/>
                  <w:marTop w:val="0"/>
                  <w:marBottom w:val="0"/>
                  <w:divBdr>
                    <w:top w:val="none" w:sz="0" w:space="0" w:color="auto"/>
                    <w:left w:val="none" w:sz="0" w:space="0" w:color="auto"/>
                    <w:bottom w:val="none" w:sz="0" w:space="0" w:color="auto"/>
                    <w:right w:val="none" w:sz="0" w:space="0" w:color="auto"/>
                  </w:divBdr>
                  <w:divsChild>
                    <w:div w:id="14813441">
                      <w:marLeft w:val="0"/>
                      <w:marRight w:val="0"/>
                      <w:marTop w:val="0"/>
                      <w:marBottom w:val="0"/>
                      <w:divBdr>
                        <w:top w:val="none" w:sz="0" w:space="0" w:color="auto"/>
                        <w:left w:val="none" w:sz="0" w:space="0" w:color="auto"/>
                        <w:bottom w:val="none" w:sz="0" w:space="0" w:color="auto"/>
                        <w:right w:val="none" w:sz="0" w:space="0" w:color="auto"/>
                      </w:divBdr>
                      <w:divsChild>
                        <w:div w:id="830869479">
                          <w:marLeft w:val="0"/>
                          <w:marRight w:val="0"/>
                          <w:marTop w:val="0"/>
                          <w:marBottom w:val="0"/>
                          <w:divBdr>
                            <w:top w:val="none" w:sz="0" w:space="0" w:color="auto"/>
                            <w:left w:val="none" w:sz="0" w:space="0" w:color="auto"/>
                            <w:bottom w:val="none" w:sz="0" w:space="0" w:color="auto"/>
                            <w:right w:val="none" w:sz="0" w:space="0" w:color="auto"/>
                          </w:divBdr>
                        </w:div>
                        <w:div w:id="56082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486850">
      <w:bodyDiv w:val="1"/>
      <w:marLeft w:val="0"/>
      <w:marRight w:val="0"/>
      <w:marTop w:val="0"/>
      <w:marBottom w:val="0"/>
      <w:divBdr>
        <w:top w:val="none" w:sz="0" w:space="0" w:color="auto"/>
        <w:left w:val="none" w:sz="0" w:space="0" w:color="auto"/>
        <w:bottom w:val="none" w:sz="0" w:space="0" w:color="auto"/>
        <w:right w:val="none" w:sz="0" w:space="0" w:color="auto"/>
      </w:divBdr>
      <w:divsChild>
        <w:div w:id="774441859">
          <w:marLeft w:val="0"/>
          <w:marRight w:val="0"/>
          <w:marTop w:val="0"/>
          <w:marBottom w:val="0"/>
          <w:divBdr>
            <w:top w:val="none" w:sz="0" w:space="0" w:color="auto"/>
            <w:left w:val="none" w:sz="0" w:space="0" w:color="auto"/>
            <w:bottom w:val="none" w:sz="0" w:space="0" w:color="auto"/>
            <w:right w:val="none" w:sz="0" w:space="0" w:color="auto"/>
          </w:divBdr>
          <w:divsChild>
            <w:div w:id="618296252">
              <w:marLeft w:val="0"/>
              <w:marRight w:val="0"/>
              <w:marTop w:val="0"/>
              <w:marBottom w:val="0"/>
              <w:divBdr>
                <w:top w:val="none" w:sz="0" w:space="0" w:color="auto"/>
                <w:left w:val="none" w:sz="0" w:space="0" w:color="auto"/>
                <w:bottom w:val="none" w:sz="0" w:space="0" w:color="auto"/>
                <w:right w:val="none" w:sz="0" w:space="0" w:color="auto"/>
              </w:divBdr>
              <w:divsChild>
                <w:div w:id="1574927623">
                  <w:marLeft w:val="0"/>
                  <w:marRight w:val="0"/>
                  <w:marTop w:val="0"/>
                  <w:marBottom w:val="0"/>
                  <w:divBdr>
                    <w:top w:val="none" w:sz="0" w:space="0" w:color="auto"/>
                    <w:left w:val="none" w:sz="0" w:space="0" w:color="auto"/>
                    <w:bottom w:val="none" w:sz="0" w:space="0" w:color="auto"/>
                    <w:right w:val="none" w:sz="0" w:space="0" w:color="auto"/>
                  </w:divBdr>
                  <w:divsChild>
                    <w:div w:id="1592155522">
                      <w:marLeft w:val="0"/>
                      <w:marRight w:val="0"/>
                      <w:marTop w:val="0"/>
                      <w:marBottom w:val="0"/>
                      <w:divBdr>
                        <w:top w:val="none" w:sz="0" w:space="0" w:color="auto"/>
                        <w:left w:val="none" w:sz="0" w:space="0" w:color="auto"/>
                        <w:bottom w:val="none" w:sz="0" w:space="0" w:color="auto"/>
                        <w:right w:val="none" w:sz="0" w:space="0" w:color="auto"/>
                      </w:divBdr>
                      <w:divsChild>
                        <w:div w:id="674381033">
                          <w:marLeft w:val="0"/>
                          <w:marRight w:val="0"/>
                          <w:marTop w:val="0"/>
                          <w:marBottom w:val="0"/>
                          <w:divBdr>
                            <w:top w:val="none" w:sz="0" w:space="0" w:color="auto"/>
                            <w:left w:val="none" w:sz="0" w:space="0" w:color="auto"/>
                            <w:bottom w:val="none" w:sz="0" w:space="0" w:color="auto"/>
                            <w:right w:val="none" w:sz="0" w:space="0" w:color="auto"/>
                          </w:divBdr>
                          <w:divsChild>
                            <w:div w:id="379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595253">
      <w:bodyDiv w:val="1"/>
      <w:marLeft w:val="0"/>
      <w:marRight w:val="0"/>
      <w:marTop w:val="0"/>
      <w:marBottom w:val="0"/>
      <w:divBdr>
        <w:top w:val="none" w:sz="0" w:space="0" w:color="auto"/>
        <w:left w:val="none" w:sz="0" w:space="0" w:color="auto"/>
        <w:bottom w:val="none" w:sz="0" w:space="0" w:color="auto"/>
        <w:right w:val="none" w:sz="0" w:space="0" w:color="auto"/>
      </w:divBdr>
      <w:divsChild>
        <w:div w:id="2018846604">
          <w:marLeft w:val="0"/>
          <w:marRight w:val="0"/>
          <w:marTop w:val="0"/>
          <w:marBottom w:val="0"/>
          <w:divBdr>
            <w:top w:val="none" w:sz="0" w:space="0" w:color="auto"/>
            <w:left w:val="none" w:sz="0" w:space="0" w:color="auto"/>
            <w:bottom w:val="none" w:sz="0" w:space="0" w:color="auto"/>
            <w:right w:val="none" w:sz="0" w:space="0" w:color="auto"/>
          </w:divBdr>
          <w:divsChild>
            <w:div w:id="710886011">
              <w:marLeft w:val="0"/>
              <w:marRight w:val="0"/>
              <w:marTop w:val="0"/>
              <w:marBottom w:val="0"/>
              <w:divBdr>
                <w:top w:val="none" w:sz="0" w:space="0" w:color="auto"/>
                <w:left w:val="none" w:sz="0" w:space="0" w:color="auto"/>
                <w:bottom w:val="none" w:sz="0" w:space="0" w:color="auto"/>
                <w:right w:val="none" w:sz="0" w:space="0" w:color="auto"/>
              </w:divBdr>
              <w:divsChild>
                <w:div w:id="1046374251">
                  <w:marLeft w:val="0"/>
                  <w:marRight w:val="0"/>
                  <w:marTop w:val="0"/>
                  <w:marBottom w:val="0"/>
                  <w:divBdr>
                    <w:top w:val="none" w:sz="0" w:space="0" w:color="auto"/>
                    <w:left w:val="none" w:sz="0" w:space="0" w:color="auto"/>
                    <w:bottom w:val="none" w:sz="0" w:space="0" w:color="auto"/>
                    <w:right w:val="none" w:sz="0" w:space="0" w:color="auto"/>
                  </w:divBdr>
                  <w:divsChild>
                    <w:div w:id="1816288271">
                      <w:marLeft w:val="0"/>
                      <w:marRight w:val="0"/>
                      <w:marTop w:val="0"/>
                      <w:marBottom w:val="0"/>
                      <w:divBdr>
                        <w:top w:val="none" w:sz="0" w:space="0" w:color="auto"/>
                        <w:left w:val="none" w:sz="0" w:space="0" w:color="auto"/>
                        <w:bottom w:val="none" w:sz="0" w:space="0" w:color="auto"/>
                        <w:right w:val="none" w:sz="0" w:space="0" w:color="auto"/>
                      </w:divBdr>
                      <w:divsChild>
                        <w:div w:id="1731264778">
                          <w:marLeft w:val="0"/>
                          <w:marRight w:val="0"/>
                          <w:marTop w:val="0"/>
                          <w:marBottom w:val="0"/>
                          <w:divBdr>
                            <w:top w:val="none" w:sz="0" w:space="0" w:color="auto"/>
                            <w:left w:val="none" w:sz="0" w:space="0" w:color="auto"/>
                            <w:bottom w:val="none" w:sz="0" w:space="0" w:color="auto"/>
                            <w:right w:val="none" w:sz="0" w:space="0" w:color="auto"/>
                          </w:divBdr>
                          <w:divsChild>
                            <w:div w:id="14157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759064">
      <w:bodyDiv w:val="1"/>
      <w:marLeft w:val="0"/>
      <w:marRight w:val="0"/>
      <w:marTop w:val="0"/>
      <w:marBottom w:val="0"/>
      <w:divBdr>
        <w:top w:val="none" w:sz="0" w:space="0" w:color="auto"/>
        <w:left w:val="none" w:sz="0" w:space="0" w:color="auto"/>
        <w:bottom w:val="none" w:sz="0" w:space="0" w:color="auto"/>
        <w:right w:val="none" w:sz="0" w:space="0" w:color="auto"/>
      </w:divBdr>
      <w:divsChild>
        <w:div w:id="1193038355">
          <w:marLeft w:val="0"/>
          <w:marRight w:val="0"/>
          <w:marTop w:val="0"/>
          <w:marBottom w:val="0"/>
          <w:divBdr>
            <w:top w:val="none" w:sz="0" w:space="0" w:color="auto"/>
            <w:left w:val="none" w:sz="0" w:space="0" w:color="auto"/>
            <w:bottom w:val="none" w:sz="0" w:space="0" w:color="auto"/>
            <w:right w:val="none" w:sz="0" w:space="0" w:color="auto"/>
          </w:divBdr>
          <w:divsChild>
            <w:div w:id="1100106369">
              <w:marLeft w:val="0"/>
              <w:marRight w:val="0"/>
              <w:marTop w:val="0"/>
              <w:marBottom w:val="0"/>
              <w:divBdr>
                <w:top w:val="none" w:sz="0" w:space="0" w:color="auto"/>
                <w:left w:val="none" w:sz="0" w:space="0" w:color="auto"/>
                <w:bottom w:val="none" w:sz="0" w:space="0" w:color="auto"/>
                <w:right w:val="none" w:sz="0" w:space="0" w:color="auto"/>
              </w:divBdr>
              <w:divsChild>
                <w:div w:id="845947227">
                  <w:marLeft w:val="0"/>
                  <w:marRight w:val="0"/>
                  <w:marTop w:val="0"/>
                  <w:marBottom w:val="0"/>
                  <w:divBdr>
                    <w:top w:val="none" w:sz="0" w:space="0" w:color="auto"/>
                    <w:left w:val="none" w:sz="0" w:space="0" w:color="auto"/>
                    <w:bottom w:val="none" w:sz="0" w:space="0" w:color="auto"/>
                    <w:right w:val="none" w:sz="0" w:space="0" w:color="auto"/>
                  </w:divBdr>
                  <w:divsChild>
                    <w:div w:id="155153444">
                      <w:marLeft w:val="0"/>
                      <w:marRight w:val="0"/>
                      <w:marTop w:val="0"/>
                      <w:marBottom w:val="0"/>
                      <w:divBdr>
                        <w:top w:val="none" w:sz="0" w:space="0" w:color="auto"/>
                        <w:left w:val="none" w:sz="0" w:space="0" w:color="auto"/>
                        <w:bottom w:val="none" w:sz="0" w:space="0" w:color="auto"/>
                        <w:right w:val="none" w:sz="0" w:space="0" w:color="auto"/>
                      </w:divBdr>
                      <w:divsChild>
                        <w:div w:id="563025315">
                          <w:marLeft w:val="0"/>
                          <w:marRight w:val="0"/>
                          <w:marTop w:val="0"/>
                          <w:marBottom w:val="0"/>
                          <w:divBdr>
                            <w:top w:val="none" w:sz="0" w:space="0" w:color="auto"/>
                            <w:left w:val="none" w:sz="0" w:space="0" w:color="auto"/>
                            <w:bottom w:val="none" w:sz="0" w:space="0" w:color="auto"/>
                            <w:right w:val="none" w:sz="0" w:space="0" w:color="auto"/>
                          </w:divBdr>
                        </w:div>
                        <w:div w:id="17322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440907">
      <w:bodyDiv w:val="1"/>
      <w:marLeft w:val="0"/>
      <w:marRight w:val="0"/>
      <w:marTop w:val="0"/>
      <w:marBottom w:val="0"/>
      <w:divBdr>
        <w:top w:val="none" w:sz="0" w:space="0" w:color="auto"/>
        <w:left w:val="none" w:sz="0" w:space="0" w:color="auto"/>
        <w:bottom w:val="none" w:sz="0" w:space="0" w:color="auto"/>
        <w:right w:val="none" w:sz="0" w:space="0" w:color="auto"/>
      </w:divBdr>
      <w:divsChild>
        <w:div w:id="2134594614">
          <w:marLeft w:val="0"/>
          <w:marRight w:val="0"/>
          <w:marTop w:val="0"/>
          <w:marBottom w:val="0"/>
          <w:divBdr>
            <w:top w:val="none" w:sz="0" w:space="0" w:color="auto"/>
            <w:left w:val="none" w:sz="0" w:space="0" w:color="auto"/>
            <w:bottom w:val="none" w:sz="0" w:space="0" w:color="auto"/>
            <w:right w:val="none" w:sz="0" w:space="0" w:color="auto"/>
          </w:divBdr>
          <w:divsChild>
            <w:div w:id="1839299399">
              <w:marLeft w:val="0"/>
              <w:marRight w:val="0"/>
              <w:marTop w:val="0"/>
              <w:marBottom w:val="0"/>
              <w:divBdr>
                <w:top w:val="none" w:sz="0" w:space="0" w:color="auto"/>
                <w:left w:val="none" w:sz="0" w:space="0" w:color="auto"/>
                <w:bottom w:val="none" w:sz="0" w:space="0" w:color="auto"/>
                <w:right w:val="none" w:sz="0" w:space="0" w:color="auto"/>
              </w:divBdr>
              <w:divsChild>
                <w:div w:id="2112846512">
                  <w:marLeft w:val="0"/>
                  <w:marRight w:val="0"/>
                  <w:marTop w:val="0"/>
                  <w:marBottom w:val="0"/>
                  <w:divBdr>
                    <w:top w:val="none" w:sz="0" w:space="0" w:color="auto"/>
                    <w:left w:val="none" w:sz="0" w:space="0" w:color="auto"/>
                    <w:bottom w:val="none" w:sz="0" w:space="0" w:color="auto"/>
                    <w:right w:val="none" w:sz="0" w:space="0" w:color="auto"/>
                  </w:divBdr>
                  <w:divsChild>
                    <w:div w:id="524947497">
                      <w:marLeft w:val="0"/>
                      <w:marRight w:val="0"/>
                      <w:marTop w:val="0"/>
                      <w:marBottom w:val="0"/>
                      <w:divBdr>
                        <w:top w:val="none" w:sz="0" w:space="0" w:color="auto"/>
                        <w:left w:val="none" w:sz="0" w:space="0" w:color="auto"/>
                        <w:bottom w:val="none" w:sz="0" w:space="0" w:color="auto"/>
                        <w:right w:val="none" w:sz="0" w:space="0" w:color="auto"/>
                      </w:divBdr>
                      <w:divsChild>
                        <w:div w:id="881551264">
                          <w:marLeft w:val="0"/>
                          <w:marRight w:val="0"/>
                          <w:marTop w:val="0"/>
                          <w:marBottom w:val="0"/>
                          <w:divBdr>
                            <w:top w:val="none" w:sz="0" w:space="0" w:color="auto"/>
                            <w:left w:val="none" w:sz="0" w:space="0" w:color="auto"/>
                            <w:bottom w:val="none" w:sz="0" w:space="0" w:color="auto"/>
                            <w:right w:val="none" w:sz="0" w:space="0" w:color="auto"/>
                          </w:divBdr>
                        </w:div>
                        <w:div w:id="45857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856905">
      <w:bodyDiv w:val="1"/>
      <w:marLeft w:val="0"/>
      <w:marRight w:val="0"/>
      <w:marTop w:val="0"/>
      <w:marBottom w:val="0"/>
      <w:divBdr>
        <w:top w:val="none" w:sz="0" w:space="0" w:color="auto"/>
        <w:left w:val="none" w:sz="0" w:space="0" w:color="auto"/>
        <w:bottom w:val="none" w:sz="0" w:space="0" w:color="auto"/>
        <w:right w:val="none" w:sz="0" w:space="0" w:color="auto"/>
      </w:divBdr>
      <w:divsChild>
        <w:div w:id="621694006">
          <w:marLeft w:val="0"/>
          <w:marRight w:val="0"/>
          <w:marTop w:val="0"/>
          <w:marBottom w:val="0"/>
          <w:divBdr>
            <w:top w:val="none" w:sz="0" w:space="0" w:color="auto"/>
            <w:left w:val="none" w:sz="0" w:space="0" w:color="auto"/>
            <w:bottom w:val="none" w:sz="0" w:space="0" w:color="auto"/>
            <w:right w:val="none" w:sz="0" w:space="0" w:color="auto"/>
          </w:divBdr>
          <w:divsChild>
            <w:div w:id="1139222455">
              <w:marLeft w:val="0"/>
              <w:marRight w:val="0"/>
              <w:marTop w:val="0"/>
              <w:marBottom w:val="0"/>
              <w:divBdr>
                <w:top w:val="none" w:sz="0" w:space="0" w:color="auto"/>
                <w:left w:val="none" w:sz="0" w:space="0" w:color="auto"/>
                <w:bottom w:val="none" w:sz="0" w:space="0" w:color="auto"/>
                <w:right w:val="none" w:sz="0" w:space="0" w:color="auto"/>
              </w:divBdr>
              <w:divsChild>
                <w:div w:id="1911042293">
                  <w:marLeft w:val="0"/>
                  <w:marRight w:val="0"/>
                  <w:marTop w:val="0"/>
                  <w:marBottom w:val="0"/>
                  <w:divBdr>
                    <w:top w:val="none" w:sz="0" w:space="0" w:color="auto"/>
                    <w:left w:val="none" w:sz="0" w:space="0" w:color="auto"/>
                    <w:bottom w:val="none" w:sz="0" w:space="0" w:color="auto"/>
                    <w:right w:val="none" w:sz="0" w:space="0" w:color="auto"/>
                  </w:divBdr>
                  <w:divsChild>
                    <w:div w:id="1412041812">
                      <w:marLeft w:val="0"/>
                      <w:marRight w:val="0"/>
                      <w:marTop w:val="0"/>
                      <w:marBottom w:val="0"/>
                      <w:divBdr>
                        <w:top w:val="none" w:sz="0" w:space="0" w:color="auto"/>
                        <w:left w:val="none" w:sz="0" w:space="0" w:color="auto"/>
                        <w:bottom w:val="none" w:sz="0" w:space="0" w:color="auto"/>
                        <w:right w:val="none" w:sz="0" w:space="0" w:color="auto"/>
                      </w:divBdr>
                      <w:divsChild>
                        <w:div w:id="1226718481">
                          <w:marLeft w:val="0"/>
                          <w:marRight w:val="0"/>
                          <w:marTop w:val="0"/>
                          <w:marBottom w:val="0"/>
                          <w:divBdr>
                            <w:top w:val="none" w:sz="0" w:space="0" w:color="auto"/>
                            <w:left w:val="none" w:sz="0" w:space="0" w:color="auto"/>
                            <w:bottom w:val="none" w:sz="0" w:space="0" w:color="auto"/>
                            <w:right w:val="none" w:sz="0" w:space="0" w:color="auto"/>
                          </w:divBdr>
                          <w:divsChild>
                            <w:div w:id="122494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477299">
      <w:bodyDiv w:val="1"/>
      <w:marLeft w:val="0"/>
      <w:marRight w:val="0"/>
      <w:marTop w:val="0"/>
      <w:marBottom w:val="0"/>
      <w:divBdr>
        <w:top w:val="none" w:sz="0" w:space="0" w:color="auto"/>
        <w:left w:val="none" w:sz="0" w:space="0" w:color="auto"/>
        <w:bottom w:val="none" w:sz="0" w:space="0" w:color="auto"/>
        <w:right w:val="none" w:sz="0" w:space="0" w:color="auto"/>
      </w:divBdr>
      <w:divsChild>
        <w:div w:id="1720468947">
          <w:marLeft w:val="0"/>
          <w:marRight w:val="0"/>
          <w:marTop w:val="0"/>
          <w:marBottom w:val="0"/>
          <w:divBdr>
            <w:top w:val="none" w:sz="0" w:space="0" w:color="auto"/>
            <w:left w:val="none" w:sz="0" w:space="0" w:color="auto"/>
            <w:bottom w:val="none" w:sz="0" w:space="0" w:color="auto"/>
            <w:right w:val="none" w:sz="0" w:space="0" w:color="auto"/>
          </w:divBdr>
          <w:divsChild>
            <w:div w:id="1152677055">
              <w:marLeft w:val="0"/>
              <w:marRight w:val="0"/>
              <w:marTop w:val="0"/>
              <w:marBottom w:val="0"/>
              <w:divBdr>
                <w:top w:val="none" w:sz="0" w:space="0" w:color="auto"/>
                <w:left w:val="none" w:sz="0" w:space="0" w:color="auto"/>
                <w:bottom w:val="none" w:sz="0" w:space="0" w:color="auto"/>
                <w:right w:val="none" w:sz="0" w:space="0" w:color="auto"/>
              </w:divBdr>
              <w:divsChild>
                <w:div w:id="1503206947">
                  <w:marLeft w:val="0"/>
                  <w:marRight w:val="0"/>
                  <w:marTop w:val="0"/>
                  <w:marBottom w:val="0"/>
                  <w:divBdr>
                    <w:top w:val="none" w:sz="0" w:space="0" w:color="auto"/>
                    <w:left w:val="none" w:sz="0" w:space="0" w:color="auto"/>
                    <w:bottom w:val="none" w:sz="0" w:space="0" w:color="auto"/>
                    <w:right w:val="none" w:sz="0" w:space="0" w:color="auto"/>
                  </w:divBdr>
                  <w:divsChild>
                    <w:div w:id="747114503">
                      <w:marLeft w:val="0"/>
                      <w:marRight w:val="0"/>
                      <w:marTop w:val="0"/>
                      <w:marBottom w:val="0"/>
                      <w:divBdr>
                        <w:top w:val="none" w:sz="0" w:space="0" w:color="auto"/>
                        <w:left w:val="none" w:sz="0" w:space="0" w:color="auto"/>
                        <w:bottom w:val="none" w:sz="0" w:space="0" w:color="auto"/>
                        <w:right w:val="none" w:sz="0" w:space="0" w:color="auto"/>
                      </w:divBdr>
                      <w:divsChild>
                        <w:div w:id="1497384005">
                          <w:marLeft w:val="0"/>
                          <w:marRight w:val="0"/>
                          <w:marTop w:val="0"/>
                          <w:marBottom w:val="0"/>
                          <w:divBdr>
                            <w:top w:val="none" w:sz="0" w:space="0" w:color="auto"/>
                            <w:left w:val="none" w:sz="0" w:space="0" w:color="auto"/>
                            <w:bottom w:val="none" w:sz="0" w:space="0" w:color="auto"/>
                            <w:right w:val="none" w:sz="0" w:space="0" w:color="auto"/>
                          </w:divBdr>
                          <w:divsChild>
                            <w:div w:id="147456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137216">
      <w:bodyDiv w:val="1"/>
      <w:marLeft w:val="0"/>
      <w:marRight w:val="0"/>
      <w:marTop w:val="0"/>
      <w:marBottom w:val="0"/>
      <w:divBdr>
        <w:top w:val="none" w:sz="0" w:space="0" w:color="auto"/>
        <w:left w:val="none" w:sz="0" w:space="0" w:color="auto"/>
        <w:bottom w:val="none" w:sz="0" w:space="0" w:color="auto"/>
        <w:right w:val="none" w:sz="0" w:space="0" w:color="auto"/>
      </w:divBdr>
      <w:divsChild>
        <w:div w:id="912131141">
          <w:marLeft w:val="0"/>
          <w:marRight w:val="0"/>
          <w:marTop w:val="0"/>
          <w:marBottom w:val="0"/>
          <w:divBdr>
            <w:top w:val="none" w:sz="0" w:space="0" w:color="auto"/>
            <w:left w:val="none" w:sz="0" w:space="0" w:color="auto"/>
            <w:bottom w:val="none" w:sz="0" w:space="0" w:color="auto"/>
            <w:right w:val="none" w:sz="0" w:space="0" w:color="auto"/>
          </w:divBdr>
          <w:divsChild>
            <w:div w:id="730468268">
              <w:marLeft w:val="0"/>
              <w:marRight w:val="0"/>
              <w:marTop w:val="0"/>
              <w:marBottom w:val="0"/>
              <w:divBdr>
                <w:top w:val="none" w:sz="0" w:space="0" w:color="auto"/>
                <w:left w:val="none" w:sz="0" w:space="0" w:color="auto"/>
                <w:bottom w:val="none" w:sz="0" w:space="0" w:color="auto"/>
                <w:right w:val="none" w:sz="0" w:space="0" w:color="auto"/>
              </w:divBdr>
              <w:divsChild>
                <w:div w:id="11227393">
                  <w:marLeft w:val="0"/>
                  <w:marRight w:val="0"/>
                  <w:marTop w:val="0"/>
                  <w:marBottom w:val="0"/>
                  <w:divBdr>
                    <w:top w:val="none" w:sz="0" w:space="0" w:color="auto"/>
                    <w:left w:val="none" w:sz="0" w:space="0" w:color="auto"/>
                    <w:bottom w:val="none" w:sz="0" w:space="0" w:color="auto"/>
                    <w:right w:val="none" w:sz="0" w:space="0" w:color="auto"/>
                  </w:divBdr>
                  <w:divsChild>
                    <w:div w:id="553078646">
                      <w:marLeft w:val="0"/>
                      <w:marRight w:val="0"/>
                      <w:marTop w:val="0"/>
                      <w:marBottom w:val="0"/>
                      <w:divBdr>
                        <w:top w:val="none" w:sz="0" w:space="0" w:color="auto"/>
                        <w:left w:val="none" w:sz="0" w:space="0" w:color="auto"/>
                        <w:bottom w:val="none" w:sz="0" w:space="0" w:color="auto"/>
                        <w:right w:val="none" w:sz="0" w:space="0" w:color="auto"/>
                      </w:divBdr>
                      <w:divsChild>
                        <w:div w:id="1832409058">
                          <w:marLeft w:val="0"/>
                          <w:marRight w:val="0"/>
                          <w:marTop w:val="0"/>
                          <w:marBottom w:val="0"/>
                          <w:divBdr>
                            <w:top w:val="none" w:sz="0" w:space="0" w:color="auto"/>
                            <w:left w:val="none" w:sz="0" w:space="0" w:color="auto"/>
                            <w:bottom w:val="none" w:sz="0" w:space="0" w:color="auto"/>
                            <w:right w:val="none" w:sz="0" w:space="0" w:color="auto"/>
                          </w:divBdr>
                          <w:divsChild>
                            <w:div w:id="123092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789672">
      <w:bodyDiv w:val="1"/>
      <w:marLeft w:val="0"/>
      <w:marRight w:val="0"/>
      <w:marTop w:val="0"/>
      <w:marBottom w:val="0"/>
      <w:divBdr>
        <w:top w:val="none" w:sz="0" w:space="0" w:color="auto"/>
        <w:left w:val="none" w:sz="0" w:space="0" w:color="auto"/>
        <w:bottom w:val="none" w:sz="0" w:space="0" w:color="auto"/>
        <w:right w:val="none" w:sz="0" w:space="0" w:color="auto"/>
      </w:divBdr>
      <w:divsChild>
        <w:div w:id="2052029577">
          <w:marLeft w:val="0"/>
          <w:marRight w:val="0"/>
          <w:marTop w:val="0"/>
          <w:marBottom w:val="0"/>
          <w:divBdr>
            <w:top w:val="none" w:sz="0" w:space="0" w:color="auto"/>
            <w:left w:val="none" w:sz="0" w:space="0" w:color="auto"/>
            <w:bottom w:val="none" w:sz="0" w:space="0" w:color="auto"/>
            <w:right w:val="none" w:sz="0" w:space="0" w:color="auto"/>
          </w:divBdr>
          <w:divsChild>
            <w:div w:id="1742484850">
              <w:marLeft w:val="0"/>
              <w:marRight w:val="0"/>
              <w:marTop w:val="0"/>
              <w:marBottom w:val="0"/>
              <w:divBdr>
                <w:top w:val="none" w:sz="0" w:space="0" w:color="auto"/>
                <w:left w:val="none" w:sz="0" w:space="0" w:color="auto"/>
                <w:bottom w:val="none" w:sz="0" w:space="0" w:color="auto"/>
                <w:right w:val="none" w:sz="0" w:space="0" w:color="auto"/>
              </w:divBdr>
              <w:divsChild>
                <w:div w:id="1909921519">
                  <w:marLeft w:val="0"/>
                  <w:marRight w:val="0"/>
                  <w:marTop w:val="0"/>
                  <w:marBottom w:val="0"/>
                  <w:divBdr>
                    <w:top w:val="none" w:sz="0" w:space="0" w:color="auto"/>
                    <w:left w:val="none" w:sz="0" w:space="0" w:color="auto"/>
                    <w:bottom w:val="none" w:sz="0" w:space="0" w:color="auto"/>
                    <w:right w:val="none" w:sz="0" w:space="0" w:color="auto"/>
                  </w:divBdr>
                  <w:divsChild>
                    <w:div w:id="386028112">
                      <w:marLeft w:val="0"/>
                      <w:marRight w:val="0"/>
                      <w:marTop w:val="0"/>
                      <w:marBottom w:val="0"/>
                      <w:divBdr>
                        <w:top w:val="none" w:sz="0" w:space="0" w:color="auto"/>
                        <w:left w:val="none" w:sz="0" w:space="0" w:color="auto"/>
                        <w:bottom w:val="none" w:sz="0" w:space="0" w:color="auto"/>
                        <w:right w:val="none" w:sz="0" w:space="0" w:color="auto"/>
                      </w:divBdr>
                      <w:divsChild>
                        <w:div w:id="1165633697">
                          <w:marLeft w:val="0"/>
                          <w:marRight w:val="0"/>
                          <w:marTop w:val="0"/>
                          <w:marBottom w:val="0"/>
                          <w:divBdr>
                            <w:top w:val="none" w:sz="0" w:space="0" w:color="auto"/>
                            <w:left w:val="none" w:sz="0" w:space="0" w:color="auto"/>
                            <w:bottom w:val="none" w:sz="0" w:space="0" w:color="auto"/>
                            <w:right w:val="none" w:sz="0" w:space="0" w:color="auto"/>
                          </w:divBdr>
                        </w:div>
                        <w:div w:id="9976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866172">
      <w:bodyDiv w:val="1"/>
      <w:marLeft w:val="0"/>
      <w:marRight w:val="0"/>
      <w:marTop w:val="0"/>
      <w:marBottom w:val="0"/>
      <w:divBdr>
        <w:top w:val="none" w:sz="0" w:space="0" w:color="auto"/>
        <w:left w:val="none" w:sz="0" w:space="0" w:color="auto"/>
        <w:bottom w:val="none" w:sz="0" w:space="0" w:color="auto"/>
        <w:right w:val="none" w:sz="0" w:space="0" w:color="auto"/>
      </w:divBdr>
      <w:divsChild>
        <w:div w:id="217594079">
          <w:marLeft w:val="0"/>
          <w:marRight w:val="0"/>
          <w:marTop w:val="0"/>
          <w:marBottom w:val="0"/>
          <w:divBdr>
            <w:top w:val="none" w:sz="0" w:space="0" w:color="auto"/>
            <w:left w:val="none" w:sz="0" w:space="0" w:color="auto"/>
            <w:bottom w:val="none" w:sz="0" w:space="0" w:color="auto"/>
            <w:right w:val="none" w:sz="0" w:space="0" w:color="auto"/>
          </w:divBdr>
          <w:divsChild>
            <w:div w:id="806701805">
              <w:marLeft w:val="0"/>
              <w:marRight w:val="0"/>
              <w:marTop w:val="0"/>
              <w:marBottom w:val="0"/>
              <w:divBdr>
                <w:top w:val="none" w:sz="0" w:space="0" w:color="auto"/>
                <w:left w:val="none" w:sz="0" w:space="0" w:color="auto"/>
                <w:bottom w:val="none" w:sz="0" w:space="0" w:color="auto"/>
                <w:right w:val="none" w:sz="0" w:space="0" w:color="auto"/>
              </w:divBdr>
              <w:divsChild>
                <w:div w:id="942884710">
                  <w:marLeft w:val="0"/>
                  <w:marRight w:val="0"/>
                  <w:marTop w:val="0"/>
                  <w:marBottom w:val="0"/>
                  <w:divBdr>
                    <w:top w:val="none" w:sz="0" w:space="0" w:color="auto"/>
                    <w:left w:val="none" w:sz="0" w:space="0" w:color="auto"/>
                    <w:bottom w:val="none" w:sz="0" w:space="0" w:color="auto"/>
                    <w:right w:val="none" w:sz="0" w:space="0" w:color="auto"/>
                  </w:divBdr>
                  <w:divsChild>
                    <w:div w:id="604267538">
                      <w:marLeft w:val="0"/>
                      <w:marRight w:val="0"/>
                      <w:marTop w:val="0"/>
                      <w:marBottom w:val="0"/>
                      <w:divBdr>
                        <w:top w:val="none" w:sz="0" w:space="0" w:color="auto"/>
                        <w:left w:val="none" w:sz="0" w:space="0" w:color="auto"/>
                        <w:bottom w:val="none" w:sz="0" w:space="0" w:color="auto"/>
                        <w:right w:val="none" w:sz="0" w:space="0" w:color="auto"/>
                      </w:divBdr>
                      <w:divsChild>
                        <w:div w:id="631597891">
                          <w:marLeft w:val="0"/>
                          <w:marRight w:val="0"/>
                          <w:marTop w:val="0"/>
                          <w:marBottom w:val="0"/>
                          <w:divBdr>
                            <w:top w:val="none" w:sz="0" w:space="0" w:color="auto"/>
                            <w:left w:val="none" w:sz="0" w:space="0" w:color="auto"/>
                            <w:bottom w:val="none" w:sz="0" w:space="0" w:color="auto"/>
                            <w:right w:val="none" w:sz="0" w:space="0" w:color="auto"/>
                          </w:divBdr>
                          <w:divsChild>
                            <w:div w:id="201309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247336">
      <w:bodyDiv w:val="1"/>
      <w:marLeft w:val="0"/>
      <w:marRight w:val="0"/>
      <w:marTop w:val="0"/>
      <w:marBottom w:val="0"/>
      <w:divBdr>
        <w:top w:val="none" w:sz="0" w:space="0" w:color="auto"/>
        <w:left w:val="none" w:sz="0" w:space="0" w:color="auto"/>
        <w:bottom w:val="none" w:sz="0" w:space="0" w:color="auto"/>
        <w:right w:val="none" w:sz="0" w:space="0" w:color="auto"/>
      </w:divBdr>
      <w:divsChild>
        <w:div w:id="1846166355">
          <w:marLeft w:val="0"/>
          <w:marRight w:val="0"/>
          <w:marTop w:val="0"/>
          <w:marBottom w:val="0"/>
          <w:divBdr>
            <w:top w:val="none" w:sz="0" w:space="0" w:color="auto"/>
            <w:left w:val="none" w:sz="0" w:space="0" w:color="auto"/>
            <w:bottom w:val="none" w:sz="0" w:space="0" w:color="auto"/>
            <w:right w:val="none" w:sz="0" w:space="0" w:color="auto"/>
          </w:divBdr>
          <w:divsChild>
            <w:div w:id="1957562735">
              <w:marLeft w:val="0"/>
              <w:marRight w:val="0"/>
              <w:marTop w:val="0"/>
              <w:marBottom w:val="0"/>
              <w:divBdr>
                <w:top w:val="none" w:sz="0" w:space="0" w:color="auto"/>
                <w:left w:val="none" w:sz="0" w:space="0" w:color="auto"/>
                <w:bottom w:val="none" w:sz="0" w:space="0" w:color="auto"/>
                <w:right w:val="none" w:sz="0" w:space="0" w:color="auto"/>
              </w:divBdr>
              <w:divsChild>
                <w:div w:id="888567089">
                  <w:marLeft w:val="0"/>
                  <w:marRight w:val="0"/>
                  <w:marTop w:val="0"/>
                  <w:marBottom w:val="0"/>
                  <w:divBdr>
                    <w:top w:val="none" w:sz="0" w:space="0" w:color="auto"/>
                    <w:left w:val="none" w:sz="0" w:space="0" w:color="auto"/>
                    <w:bottom w:val="none" w:sz="0" w:space="0" w:color="auto"/>
                    <w:right w:val="none" w:sz="0" w:space="0" w:color="auto"/>
                  </w:divBdr>
                  <w:divsChild>
                    <w:div w:id="2049717873">
                      <w:marLeft w:val="0"/>
                      <w:marRight w:val="0"/>
                      <w:marTop w:val="0"/>
                      <w:marBottom w:val="0"/>
                      <w:divBdr>
                        <w:top w:val="none" w:sz="0" w:space="0" w:color="auto"/>
                        <w:left w:val="none" w:sz="0" w:space="0" w:color="auto"/>
                        <w:bottom w:val="none" w:sz="0" w:space="0" w:color="auto"/>
                        <w:right w:val="none" w:sz="0" w:space="0" w:color="auto"/>
                      </w:divBdr>
                      <w:divsChild>
                        <w:div w:id="1601521485">
                          <w:marLeft w:val="0"/>
                          <w:marRight w:val="0"/>
                          <w:marTop w:val="0"/>
                          <w:marBottom w:val="0"/>
                          <w:divBdr>
                            <w:top w:val="none" w:sz="0" w:space="0" w:color="auto"/>
                            <w:left w:val="none" w:sz="0" w:space="0" w:color="auto"/>
                            <w:bottom w:val="none" w:sz="0" w:space="0" w:color="auto"/>
                            <w:right w:val="none" w:sz="0" w:space="0" w:color="auto"/>
                          </w:divBdr>
                        </w:div>
                        <w:div w:id="2506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552619">
      <w:bodyDiv w:val="1"/>
      <w:marLeft w:val="0"/>
      <w:marRight w:val="0"/>
      <w:marTop w:val="0"/>
      <w:marBottom w:val="0"/>
      <w:divBdr>
        <w:top w:val="none" w:sz="0" w:space="0" w:color="auto"/>
        <w:left w:val="none" w:sz="0" w:space="0" w:color="auto"/>
        <w:bottom w:val="none" w:sz="0" w:space="0" w:color="auto"/>
        <w:right w:val="none" w:sz="0" w:space="0" w:color="auto"/>
      </w:divBdr>
      <w:divsChild>
        <w:div w:id="1608123635">
          <w:marLeft w:val="0"/>
          <w:marRight w:val="0"/>
          <w:marTop w:val="0"/>
          <w:marBottom w:val="0"/>
          <w:divBdr>
            <w:top w:val="none" w:sz="0" w:space="0" w:color="auto"/>
            <w:left w:val="none" w:sz="0" w:space="0" w:color="auto"/>
            <w:bottom w:val="none" w:sz="0" w:space="0" w:color="auto"/>
            <w:right w:val="none" w:sz="0" w:space="0" w:color="auto"/>
          </w:divBdr>
          <w:divsChild>
            <w:div w:id="1119184255">
              <w:marLeft w:val="0"/>
              <w:marRight w:val="0"/>
              <w:marTop w:val="0"/>
              <w:marBottom w:val="0"/>
              <w:divBdr>
                <w:top w:val="none" w:sz="0" w:space="0" w:color="auto"/>
                <w:left w:val="none" w:sz="0" w:space="0" w:color="auto"/>
                <w:bottom w:val="none" w:sz="0" w:space="0" w:color="auto"/>
                <w:right w:val="none" w:sz="0" w:space="0" w:color="auto"/>
              </w:divBdr>
              <w:divsChild>
                <w:div w:id="1410224856">
                  <w:marLeft w:val="0"/>
                  <w:marRight w:val="0"/>
                  <w:marTop w:val="0"/>
                  <w:marBottom w:val="0"/>
                  <w:divBdr>
                    <w:top w:val="none" w:sz="0" w:space="0" w:color="auto"/>
                    <w:left w:val="none" w:sz="0" w:space="0" w:color="auto"/>
                    <w:bottom w:val="none" w:sz="0" w:space="0" w:color="auto"/>
                    <w:right w:val="none" w:sz="0" w:space="0" w:color="auto"/>
                  </w:divBdr>
                  <w:divsChild>
                    <w:div w:id="717818362">
                      <w:marLeft w:val="0"/>
                      <w:marRight w:val="0"/>
                      <w:marTop w:val="0"/>
                      <w:marBottom w:val="0"/>
                      <w:divBdr>
                        <w:top w:val="none" w:sz="0" w:space="0" w:color="auto"/>
                        <w:left w:val="none" w:sz="0" w:space="0" w:color="auto"/>
                        <w:bottom w:val="none" w:sz="0" w:space="0" w:color="auto"/>
                        <w:right w:val="none" w:sz="0" w:space="0" w:color="auto"/>
                      </w:divBdr>
                      <w:divsChild>
                        <w:div w:id="345333551">
                          <w:marLeft w:val="0"/>
                          <w:marRight w:val="0"/>
                          <w:marTop w:val="0"/>
                          <w:marBottom w:val="0"/>
                          <w:divBdr>
                            <w:top w:val="none" w:sz="0" w:space="0" w:color="auto"/>
                            <w:left w:val="none" w:sz="0" w:space="0" w:color="auto"/>
                            <w:bottom w:val="none" w:sz="0" w:space="0" w:color="auto"/>
                            <w:right w:val="none" w:sz="0" w:space="0" w:color="auto"/>
                          </w:divBdr>
                        </w:div>
                        <w:div w:id="100783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487224">
      <w:bodyDiv w:val="1"/>
      <w:marLeft w:val="0"/>
      <w:marRight w:val="0"/>
      <w:marTop w:val="0"/>
      <w:marBottom w:val="0"/>
      <w:divBdr>
        <w:top w:val="none" w:sz="0" w:space="0" w:color="auto"/>
        <w:left w:val="none" w:sz="0" w:space="0" w:color="auto"/>
        <w:bottom w:val="none" w:sz="0" w:space="0" w:color="auto"/>
        <w:right w:val="none" w:sz="0" w:space="0" w:color="auto"/>
      </w:divBdr>
      <w:divsChild>
        <w:div w:id="895581803">
          <w:marLeft w:val="0"/>
          <w:marRight w:val="0"/>
          <w:marTop w:val="0"/>
          <w:marBottom w:val="0"/>
          <w:divBdr>
            <w:top w:val="none" w:sz="0" w:space="0" w:color="auto"/>
            <w:left w:val="none" w:sz="0" w:space="0" w:color="auto"/>
            <w:bottom w:val="none" w:sz="0" w:space="0" w:color="auto"/>
            <w:right w:val="none" w:sz="0" w:space="0" w:color="auto"/>
          </w:divBdr>
          <w:divsChild>
            <w:div w:id="2086298208">
              <w:marLeft w:val="0"/>
              <w:marRight w:val="0"/>
              <w:marTop w:val="0"/>
              <w:marBottom w:val="0"/>
              <w:divBdr>
                <w:top w:val="none" w:sz="0" w:space="0" w:color="auto"/>
                <w:left w:val="none" w:sz="0" w:space="0" w:color="auto"/>
                <w:bottom w:val="none" w:sz="0" w:space="0" w:color="auto"/>
                <w:right w:val="none" w:sz="0" w:space="0" w:color="auto"/>
              </w:divBdr>
              <w:divsChild>
                <w:div w:id="1281188390">
                  <w:marLeft w:val="0"/>
                  <w:marRight w:val="0"/>
                  <w:marTop w:val="0"/>
                  <w:marBottom w:val="0"/>
                  <w:divBdr>
                    <w:top w:val="none" w:sz="0" w:space="0" w:color="auto"/>
                    <w:left w:val="none" w:sz="0" w:space="0" w:color="auto"/>
                    <w:bottom w:val="none" w:sz="0" w:space="0" w:color="auto"/>
                    <w:right w:val="none" w:sz="0" w:space="0" w:color="auto"/>
                  </w:divBdr>
                  <w:divsChild>
                    <w:div w:id="275983815">
                      <w:marLeft w:val="0"/>
                      <w:marRight w:val="0"/>
                      <w:marTop w:val="0"/>
                      <w:marBottom w:val="0"/>
                      <w:divBdr>
                        <w:top w:val="none" w:sz="0" w:space="0" w:color="auto"/>
                        <w:left w:val="none" w:sz="0" w:space="0" w:color="auto"/>
                        <w:bottom w:val="none" w:sz="0" w:space="0" w:color="auto"/>
                        <w:right w:val="none" w:sz="0" w:space="0" w:color="auto"/>
                      </w:divBdr>
                      <w:divsChild>
                        <w:div w:id="234633521">
                          <w:marLeft w:val="0"/>
                          <w:marRight w:val="0"/>
                          <w:marTop w:val="0"/>
                          <w:marBottom w:val="0"/>
                          <w:divBdr>
                            <w:top w:val="none" w:sz="0" w:space="0" w:color="auto"/>
                            <w:left w:val="none" w:sz="0" w:space="0" w:color="auto"/>
                            <w:bottom w:val="none" w:sz="0" w:space="0" w:color="auto"/>
                            <w:right w:val="none" w:sz="0" w:space="0" w:color="auto"/>
                          </w:divBdr>
                        </w:div>
                        <w:div w:id="5837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CE0BE5-3633-49DC-BBB3-D08B8BCDA2BA}"/>
</file>

<file path=customXml/itemProps2.xml><?xml version="1.0" encoding="utf-8"?>
<ds:datastoreItem xmlns:ds="http://schemas.openxmlformats.org/officeDocument/2006/customXml" ds:itemID="{DF259212-E562-440F-8192-E8D6B41596DB}"/>
</file>

<file path=customXml/itemProps3.xml><?xml version="1.0" encoding="utf-8"?>
<ds:datastoreItem xmlns:ds="http://schemas.openxmlformats.org/officeDocument/2006/customXml" ds:itemID="{00357968-BBBD-430B-AA33-E2F928888950}"/>
</file>

<file path=customXml/itemProps4.xml><?xml version="1.0" encoding="utf-8"?>
<ds:datastoreItem xmlns:ds="http://schemas.openxmlformats.org/officeDocument/2006/customXml" ds:itemID="{7DFB9F9A-F5F8-48FF-A1FD-E54666792CE1}"/>
</file>

<file path=docProps/app.xml><?xml version="1.0" encoding="utf-8"?>
<Properties xmlns="http://schemas.openxmlformats.org/officeDocument/2006/extended-properties" xmlns:vt="http://schemas.openxmlformats.org/officeDocument/2006/docPropsVTypes">
  <Template>Normal.dotm</Template>
  <TotalTime>0</TotalTime>
  <Pages>1</Pages>
  <Words>4546</Words>
  <Characters>25916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30402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cp:lastPrinted>2018-11-02T13:40:00Z</cp:lastPrinted>
  <dcterms:created xsi:type="dcterms:W3CDTF">2019-08-31T11:04:00Z</dcterms:created>
  <dcterms:modified xsi:type="dcterms:W3CDTF">2019-08-31T11:04:00Z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30315/10</vt:lpwstr>
  </property>
  <property fmtid="{D5CDD505-2E9C-101B-9397-08002B2CF9AE}" pid="4" name="CASEID">
    <vt:lpwstr>644330</vt:lpwstr>
  </property>
  <property fmtid="{D5CDD505-2E9C-101B-9397-08002B2CF9AE}" pid="5" name="ContentTypeId">
    <vt:lpwstr>0x010100558EB02BDB9E204AB350EDD385B68E10</vt:lpwstr>
  </property>
</Properties>
</file>